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2E01A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37FE8517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7DC827D6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1C69C7DA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0077F1F9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3A851D6F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4A254CCD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2E2F2548">
      <w:pPr>
        <w:jc w:val="center"/>
        <w:rPr>
          <w:rFonts w:hint="eastAsia"/>
          <w:sz w:val="48"/>
          <w:szCs w:val="56"/>
          <w:lang w:val="en-US" w:eastAsia="zh-CN"/>
        </w:rPr>
      </w:pPr>
    </w:p>
    <w:p w14:paraId="1487C2C6">
      <w:pPr>
        <w:jc w:val="center"/>
        <w:rPr>
          <w:rFonts w:hint="default"/>
          <w:sz w:val="48"/>
          <w:szCs w:val="56"/>
          <w:lang w:val="en-US" w:eastAsia="zh-CN"/>
        </w:rPr>
      </w:pPr>
      <w:r>
        <w:rPr>
          <w:rFonts w:hint="eastAsia" w:ascii="宋体" w:hAnsi="宋体" w:eastAsia="宋体" w:cs="宋体"/>
          <w:sz w:val="48"/>
          <w:szCs w:val="56"/>
          <w:lang w:val="en-US" w:eastAsia="zh-CN"/>
        </w:rPr>
        <w:t>122-06A0014-B01001_</w:t>
      </w:r>
      <w:r>
        <w:rPr>
          <w:rFonts w:hint="eastAsia"/>
          <w:sz w:val="48"/>
          <w:szCs w:val="56"/>
          <w:lang w:val="en-US" w:eastAsia="zh-CN"/>
        </w:rPr>
        <w:t>发动机-操作使用手册</w:t>
      </w:r>
    </w:p>
    <w:p w14:paraId="639D6976">
      <w:pPr>
        <w:jc w:val="both"/>
        <w:rPr>
          <w:rFonts w:hint="eastAsia"/>
          <w:lang w:val="en-US" w:eastAsia="zh-CN"/>
        </w:rPr>
      </w:pPr>
    </w:p>
    <w:p w14:paraId="3107C886">
      <w:pPr>
        <w:jc w:val="both"/>
        <w:rPr>
          <w:rFonts w:hint="eastAsia"/>
          <w:lang w:val="en-US" w:eastAsia="zh-CN"/>
        </w:rPr>
      </w:pPr>
    </w:p>
    <w:p w14:paraId="30D85F1C">
      <w:pPr>
        <w:jc w:val="both"/>
        <w:rPr>
          <w:rFonts w:hint="eastAsia"/>
          <w:lang w:val="en-US" w:eastAsia="zh-CN"/>
        </w:rPr>
      </w:pPr>
    </w:p>
    <w:p w14:paraId="7A35C1B8">
      <w:pPr>
        <w:jc w:val="both"/>
        <w:rPr>
          <w:rFonts w:hint="eastAsia"/>
          <w:lang w:val="en-US" w:eastAsia="zh-CN"/>
        </w:rPr>
      </w:pPr>
    </w:p>
    <w:p w14:paraId="30722406">
      <w:pPr>
        <w:jc w:val="both"/>
        <w:rPr>
          <w:rFonts w:hint="eastAsia"/>
          <w:lang w:val="en-US" w:eastAsia="zh-CN"/>
        </w:rPr>
      </w:pPr>
    </w:p>
    <w:p w14:paraId="339183A1">
      <w:pPr>
        <w:jc w:val="both"/>
        <w:rPr>
          <w:rFonts w:hint="eastAsia"/>
          <w:lang w:val="en-US" w:eastAsia="zh-CN"/>
        </w:rPr>
      </w:pPr>
    </w:p>
    <w:p w14:paraId="6B5640D9">
      <w:pPr>
        <w:jc w:val="both"/>
        <w:rPr>
          <w:rFonts w:hint="eastAsia"/>
          <w:lang w:val="en-US" w:eastAsia="zh-CN"/>
        </w:rPr>
      </w:pPr>
    </w:p>
    <w:p w14:paraId="7E92CCAD">
      <w:pPr>
        <w:jc w:val="both"/>
        <w:rPr>
          <w:rFonts w:hint="eastAsia"/>
          <w:lang w:val="en-US" w:eastAsia="zh-CN"/>
        </w:rPr>
      </w:pPr>
    </w:p>
    <w:p w14:paraId="10CCC3E1">
      <w:pPr>
        <w:jc w:val="both"/>
        <w:rPr>
          <w:rFonts w:hint="eastAsia"/>
          <w:lang w:val="en-US" w:eastAsia="zh-CN"/>
        </w:rPr>
      </w:pPr>
    </w:p>
    <w:p w14:paraId="5628591D">
      <w:pPr>
        <w:jc w:val="both"/>
        <w:rPr>
          <w:rFonts w:hint="eastAsia"/>
          <w:lang w:val="en-US" w:eastAsia="zh-CN"/>
        </w:rPr>
      </w:pPr>
    </w:p>
    <w:p w14:paraId="4A818423">
      <w:pPr>
        <w:jc w:val="both"/>
        <w:rPr>
          <w:rFonts w:hint="eastAsia"/>
          <w:lang w:val="en-US" w:eastAsia="zh-CN"/>
        </w:rPr>
      </w:pPr>
    </w:p>
    <w:p w14:paraId="5F174305">
      <w:pPr>
        <w:jc w:val="both"/>
        <w:rPr>
          <w:rFonts w:hint="eastAsia"/>
          <w:lang w:val="en-US" w:eastAsia="zh-CN"/>
        </w:rPr>
      </w:pPr>
    </w:p>
    <w:p w14:paraId="12B7F015">
      <w:pPr>
        <w:jc w:val="both"/>
        <w:rPr>
          <w:rFonts w:hint="eastAsia"/>
          <w:lang w:val="en-US" w:eastAsia="zh-CN"/>
        </w:rPr>
      </w:pPr>
    </w:p>
    <w:p w14:paraId="3FBEC503">
      <w:pPr>
        <w:jc w:val="both"/>
        <w:rPr>
          <w:rFonts w:hint="eastAsia"/>
          <w:lang w:val="en-US" w:eastAsia="zh-CN"/>
        </w:rPr>
      </w:pPr>
    </w:p>
    <w:p w14:paraId="208D39C0">
      <w:pPr>
        <w:jc w:val="both"/>
        <w:rPr>
          <w:rFonts w:hint="eastAsia"/>
          <w:lang w:val="en-US" w:eastAsia="zh-CN"/>
        </w:rPr>
      </w:pPr>
    </w:p>
    <w:p w14:paraId="7FEF3F78">
      <w:pPr>
        <w:jc w:val="both"/>
        <w:rPr>
          <w:rFonts w:hint="eastAsia"/>
          <w:lang w:val="en-US" w:eastAsia="zh-CN"/>
        </w:rPr>
      </w:pPr>
    </w:p>
    <w:p w14:paraId="21F1C556">
      <w:pPr>
        <w:jc w:val="both"/>
        <w:rPr>
          <w:rFonts w:hint="eastAsia"/>
          <w:lang w:val="en-US" w:eastAsia="zh-CN"/>
        </w:rPr>
      </w:pPr>
    </w:p>
    <w:p w14:paraId="6B6D01A4">
      <w:pPr>
        <w:jc w:val="both"/>
        <w:rPr>
          <w:rFonts w:hint="eastAsia"/>
          <w:lang w:val="en-US" w:eastAsia="zh-CN"/>
        </w:rPr>
      </w:pPr>
    </w:p>
    <w:p w14:paraId="68A96D34">
      <w:pPr>
        <w:jc w:val="both"/>
        <w:rPr>
          <w:rFonts w:hint="eastAsia"/>
          <w:lang w:val="en-US" w:eastAsia="zh-CN"/>
        </w:rPr>
      </w:pPr>
    </w:p>
    <w:p w14:paraId="7C2A0B16">
      <w:pPr>
        <w:jc w:val="both"/>
        <w:rPr>
          <w:rFonts w:hint="eastAsia"/>
          <w:lang w:val="en-US" w:eastAsia="zh-CN"/>
        </w:rPr>
      </w:pPr>
    </w:p>
    <w:p w14:paraId="526E026F">
      <w:pPr>
        <w:jc w:val="both"/>
        <w:rPr>
          <w:rFonts w:hint="eastAsia"/>
          <w:lang w:val="en-US" w:eastAsia="zh-CN"/>
        </w:rPr>
      </w:pPr>
    </w:p>
    <w:p w14:paraId="5A9EB631">
      <w:pPr>
        <w:jc w:val="both"/>
        <w:rPr>
          <w:rFonts w:hint="eastAsia"/>
          <w:lang w:val="en-US" w:eastAsia="zh-CN"/>
        </w:rPr>
      </w:pPr>
    </w:p>
    <w:p w14:paraId="4427AC8D">
      <w:pPr>
        <w:jc w:val="both"/>
        <w:rPr>
          <w:rFonts w:hint="eastAsia"/>
          <w:lang w:val="en-US" w:eastAsia="zh-CN"/>
        </w:rPr>
      </w:pPr>
    </w:p>
    <w:p w14:paraId="0E76F422">
      <w:pPr>
        <w:jc w:val="both"/>
        <w:rPr>
          <w:rFonts w:hint="eastAsia"/>
          <w:lang w:val="en-US" w:eastAsia="zh-CN"/>
        </w:rPr>
      </w:pPr>
    </w:p>
    <w:p w14:paraId="60E70F8E">
      <w:pPr>
        <w:jc w:val="both"/>
        <w:rPr>
          <w:rFonts w:hint="eastAsia"/>
          <w:lang w:val="en-US" w:eastAsia="zh-CN"/>
        </w:rPr>
      </w:pPr>
    </w:p>
    <w:p w14:paraId="5758265D">
      <w:pPr>
        <w:jc w:val="both"/>
        <w:rPr>
          <w:rFonts w:hint="eastAsia"/>
          <w:lang w:val="en-US" w:eastAsia="zh-CN"/>
        </w:rPr>
      </w:pPr>
    </w:p>
    <w:sdt>
      <w:sdtPr>
        <w:rPr>
          <w:rFonts w:ascii="宋体" w:hAnsi="宋体" w:eastAsia="宋体" w:cstheme="minorBidi"/>
          <w:b/>
          <w:bCs/>
          <w:kern w:val="2"/>
          <w:sz w:val="28"/>
          <w:szCs w:val="36"/>
          <w:lang w:val="en-US" w:eastAsia="zh-CN" w:bidi="ar-SA"/>
        </w:rPr>
        <w:id w:val="147460076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744C3379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28"/>
              <w:szCs w:val="36"/>
            </w:rPr>
          </w:pPr>
          <w:r>
            <w:rPr>
              <w:rFonts w:ascii="宋体" w:hAnsi="宋体" w:eastAsia="宋体"/>
              <w:b/>
              <w:bCs/>
              <w:sz w:val="28"/>
              <w:szCs w:val="36"/>
            </w:rPr>
            <w:t>目录</w:t>
          </w:r>
        </w:p>
        <w:p w14:paraId="0F0B3AD6">
          <w:pPr>
            <w:pStyle w:val="9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TOC \o "1-3" \h \u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_Toc15646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 </w:t>
          </w:r>
          <w:r>
            <w:rPr>
              <w:rFonts w:hint="eastAsia"/>
              <w:lang w:val="en-US" w:eastAsia="zh-CN"/>
            </w:rPr>
            <w:t>安全警告</w:t>
          </w:r>
          <w:r>
            <w:tab/>
          </w:r>
          <w:r>
            <w:fldChar w:fldCharType="begin"/>
          </w:r>
          <w:r>
            <w:instrText xml:space="preserve"> PAGEREF _Toc15646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6822EBCA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_Toc13692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1.1. </w:t>
          </w:r>
          <w:r>
            <w:rPr>
              <w:rFonts w:hint="eastAsia"/>
              <w:lang w:val="en-US" w:eastAsia="zh-CN"/>
            </w:rPr>
            <w:t>警告</w:t>
          </w:r>
          <w:r>
            <w:tab/>
          </w:r>
          <w:r>
            <w:fldChar w:fldCharType="begin"/>
          </w:r>
          <w:r>
            <w:instrText xml:space="preserve"> PAGEREF _Toc13692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14E4D1A0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_Toc29424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1.2. </w:t>
          </w:r>
          <w:r>
            <w:rPr>
              <w:rFonts w:hint="eastAsia"/>
              <w:lang w:val="en-US" w:eastAsia="zh-CN"/>
            </w:rPr>
            <w:t>注意</w:t>
          </w:r>
          <w:r>
            <w:tab/>
          </w:r>
          <w:r>
            <w:fldChar w:fldCharType="begin"/>
          </w:r>
          <w:r>
            <w:instrText xml:space="preserve"> PAGEREF _Toc29424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502B192C">
          <w:pPr>
            <w:pStyle w:val="9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_Toc17813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 </w:t>
          </w:r>
          <w:r>
            <w:rPr>
              <w:rFonts w:hint="eastAsia"/>
              <w:lang w:val="en-US" w:eastAsia="zh-CN"/>
            </w:rPr>
            <w:t>概述</w:t>
          </w:r>
          <w:r>
            <w:tab/>
          </w:r>
          <w:r>
            <w:fldChar w:fldCharType="begin"/>
          </w:r>
          <w:r>
            <w:instrText xml:space="preserve"> PAGEREF _Toc17813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511D037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_Toc28823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2.1. </w:t>
          </w:r>
          <w:r>
            <w:rPr>
              <w:rFonts w:hint="eastAsia"/>
              <w:lang w:val="en-US" w:eastAsia="zh-CN"/>
            </w:rPr>
            <w:t>主要功能</w:t>
          </w:r>
          <w:r>
            <w:tab/>
          </w:r>
          <w:r>
            <w:fldChar w:fldCharType="begin"/>
          </w:r>
          <w:r>
            <w:instrText xml:space="preserve"> PAGEREF _Toc28823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647E7549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_Toc31475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2.2. </w:t>
          </w:r>
          <w:r>
            <w:rPr>
              <w:rFonts w:hint="eastAsia"/>
              <w:lang w:val="en-US" w:eastAsia="zh-CN"/>
            </w:rPr>
            <w:t>工作条件</w:t>
          </w:r>
          <w:r>
            <w:tab/>
          </w:r>
          <w:r>
            <w:fldChar w:fldCharType="begin"/>
          </w:r>
          <w:r>
            <w:instrText xml:space="preserve"> PAGEREF _Toc31475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0BB0584">
          <w:pPr>
            <w:pStyle w:val="6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_Toc7463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2.2.1正常运行条件</w:t>
          </w:r>
          <w:r>
            <w:tab/>
          </w:r>
          <w:r>
            <w:fldChar w:fldCharType="begin"/>
          </w:r>
          <w:r>
            <w:instrText xml:space="preserve"> PAGEREF _Toc7463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39E13D2F">
          <w:pPr>
            <w:pStyle w:val="6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_Toc2142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2.2.2非正常运行条件</w:t>
          </w:r>
          <w:r>
            <w:tab/>
          </w:r>
          <w:r>
            <w:fldChar w:fldCharType="begin"/>
          </w:r>
          <w:r>
            <w:instrText xml:space="preserve"> PAGEREF _Toc2142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3C7B96A1">
          <w:pPr>
            <w:pStyle w:val="9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_Toc20528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 </w:t>
          </w:r>
          <w:r>
            <w:rPr>
              <w:rFonts w:hint="eastAsia"/>
              <w:lang w:val="en-US" w:eastAsia="zh-CN"/>
            </w:rPr>
            <w:t>组成、技术特征及接口</w:t>
          </w:r>
          <w:r>
            <w:tab/>
          </w:r>
          <w:r>
            <w:fldChar w:fldCharType="begin"/>
          </w:r>
          <w:r>
            <w:instrText xml:space="preserve"> PAGEREF _Toc20528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6E924CA4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_Toc8069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3.1. </w:t>
          </w:r>
          <w:r>
            <w:rPr>
              <w:rFonts w:hint="eastAsia"/>
              <w:lang w:val="en-US" w:eastAsia="zh-CN"/>
            </w:rPr>
            <w:t>组成</w:t>
          </w:r>
          <w:r>
            <w:tab/>
          </w:r>
          <w:r>
            <w:fldChar w:fldCharType="begin"/>
          </w:r>
          <w:r>
            <w:instrText xml:space="preserve"> PAGEREF _Toc8069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BD1E714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_Toc13207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3.2. </w:t>
          </w:r>
          <w:r>
            <w:rPr>
              <w:rFonts w:hint="eastAsia"/>
              <w:lang w:val="en-US" w:eastAsia="zh-CN"/>
            </w:rPr>
            <w:t>工作原理</w:t>
          </w:r>
          <w:r>
            <w:tab/>
          </w:r>
          <w:r>
            <w:fldChar w:fldCharType="begin"/>
          </w:r>
          <w:r>
            <w:instrText xml:space="preserve"> PAGEREF _Toc13207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6D50E3A4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_Toc19939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3.3. </w:t>
          </w:r>
          <w:r>
            <w:rPr>
              <w:rFonts w:hint="eastAsia"/>
              <w:lang w:val="en-US" w:eastAsia="zh-CN"/>
            </w:rPr>
            <w:t>技术指标</w:t>
          </w:r>
          <w:r>
            <w:tab/>
          </w:r>
          <w:r>
            <w:fldChar w:fldCharType="begin"/>
          </w:r>
          <w:r>
            <w:instrText xml:space="preserve"> PAGEREF _Toc19939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587A3528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_Toc9577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3.4. </w:t>
          </w:r>
          <w:r>
            <w:rPr>
              <w:rFonts w:hint="eastAsia"/>
              <w:lang w:val="en-US" w:eastAsia="zh-CN"/>
            </w:rPr>
            <w:t>接口情况</w:t>
          </w:r>
          <w:r>
            <w:tab/>
          </w:r>
          <w:r>
            <w:fldChar w:fldCharType="begin"/>
          </w:r>
          <w:r>
            <w:instrText xml:space="preserve"> PAGEREF _Toc9577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07A9437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_Toc28102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3.5. </w:t>
          </w:r>
          <w:r>
            <w:rPr>
              <w:rFonts w:hint="eastAsia"/>
              <w:lang w:val="en-US" w:eastAsia="zh-CN"/>
            </w:rPr>
            <w:t>布置情况</w:t>
          </w:r>
          <w:r>
            <w:tab/>
          </w:r>
          <w:r>
            <w:fldChar w:fldCharType="begin"/>
          </w:r>
          <w:r>
            <w:instrText xml:space="preserve"> PAGEREF _Toc28102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4BA22A2C">
          <w:pPr>
            <w:pStyle w:val="9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_Toc8529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 </w:t>
          </w:r>
          <w:r>
            <w:rPr>
              <w:rFonts w:hint="eastAsia"/>
              <w:lang w:val="en-US" w:eastAsia="zh-CN"/>
            </w:rPr>
            <w:t>操作使用</w:t>
          </w:r>
          <w:r>
            <w:tab/>
          </w:r>
          <w:r>
            <w:fldChar w:fldCharType="begin"/>
          </w:r>
          <w:r>
            <w:instrText xml:space="preserve"> PAGEREF _Toc8529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D5FDD6E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_Toc13435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4.1. </w:t>
          </w:r>
          <w:r>
            <w:rPr>
              <w:rFonts w:hint="eastAsia"/>
              <w:lang w:val="en-US" w:eastAsia="zh-CN"/>
            </w:rPr>
            <w:t>操作使用项目索引表</w:t>
          </w:r>
          <w:r>
            <w:tab/>
          </w:r>
          <w:r>
            <w:fldChar w:fldCharType="begin"/>
          </w:r>
          <w:r>
            <w:instrText xml:space="preserve"> PAGEREF _Toc13435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732DB025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_Toc13961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4.2. </w:t>
          </w:r>
          <w:r>
            <w:rPr>
              <w:rFonts w:hint="eastAsia"/>
              <w:lang w:val="en-US" w:eastAsia="zh-CN"/>
            </w:rPr>
            <w:t>操作程序</w:t>
          </w:r>
          <w:r>
            <w:tab/>
          </w:r>
          <w:r>
            <w:fldChar w:fldCharType="begin"/>
          </w:r>
          <w:r>
            <w:instrText xml:space="preserve"> PAGEREF _Toc13961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C36253C">
          <w:pPr>
            <w:pStyle w:val="6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_Toc28399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4.2.1正常操作程序</w:t>
          </w:r>
          <w:r>
            <w:tab/>
          </w:r>
          <w:r>
            <w:fldChar w:fldCharType="begin"/>
          </w:r>
          <w:r>
            <w:instrText xml:space="preserve"> PAGEREF _Toc28399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09DD7029">
          <w:pPr>
            <w:pStyle w:val="6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_Toc30333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4.2.2应急操作程序</w:t>
          </w:r>
          <w:r>
            <w:tab/>
          </w:r>
          <w:r>
            <w:fldChar w:fldCharType="begin"/>
          </w:r>
          <w:r>
            <w:instrText xml:space="preserve"> PAGEREF _Toc30333 \h </w:instrText>
          </w:r>
          <w:r>
            <w:fldChar w:fldCharType="separate"/>
          </w:r>
          <w:r>
            <w:t>55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4AC159D4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_Toc18500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eastAsia"/>
              <w:lang w:val="en-US" w:eastAsia="zh-CN"/>
            </w:rPr>
            <w:t>4.3战位操作表</w:t>
          </w:r>
          <w:r>
            <w:tab/>
          </w:r>
          <w:r>
            <w:fldChar w:fldCharType="begin"/>
          </w:r>
          <w:r>
            <w:instrText xml:space="preserve"> PAGEREF _Toc18500 \h </w:instrText>
          </w:r>
          <w:r>
            <w:fldChar w:fldCharType="separate"/>
          </w:r>
          <w:r>
            <w:t>69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27CB8A37">
          <w:pPr>
            <w:pStyle w:val="9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_Toc27013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 </w:t>
          </w:r>
          <w:r>
            <w:rPr>
              <w:rFonts w:hint="eastAsia"/>
              <w:lang w:val="en-US" w:eastAsia="zh-CN"/>
            </w:rPr>
            <w:t>使用期间安全防护及注意事项</w:t>
          </w:r>
          <w:r>
            <w:tab/>
          </w:r>
          <w:r>
            <w:fldChar w:fldCharType="begin"/>
          </w:r>
          <w:r>
            <w:instrText xml:space="preserve"> PAGEREF _Toc27013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15D8A280">
          <w:pPr>
            <w:pStyle w:val="10"/>
            <w:tabs>
              <w:tab w:val="right" w:leader="dot" w:pos="8306"/>
            </w:tabs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_Toc4656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5.1. </w:t>
          </w:r>
          <w:r>
            <w:rPr>
              <w:rFonts w:hint="eastAsia"/>
              <w:lang w:val="en-US" w:eastAsia="zh-CN"/>
            </w:rPr>
            <w:t>安全防护</w:t>
          </w:r>
          <w:r>
            <w:tab/>
          </w:r>
          <w:r>
            <w:fldChar w:fldCharType="begin"/>
          </w:r>
          <w:r>
            <w:instrText xml:space="preserve"> PAGEREF _Toc4656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33DA68E2">
          <w:pPr>
            <w:pStyle w:val="10"/>
            <w:tabs>
              <w:tab w:val="right" w:leader="dot" w:pos="8306"/>
            </w:tabs>
            <w:rPr>
              <w:rFonts w:hint="eastAsia"/>
              <w:lang w:val="en-US" w:eastAsia="zh-CN"/>
            </w:rPr>
          </w:pPr>
          <w:r>
            <w:rPr>
              <w:rFonts w:hint="eastAsia"/>
              <w:lang w:val="en-US" w:eastAsia="zh-CN"/>
            </w:rPr>
            <w:fldChar w:fldCharType="begin"/>
          </w:r>
          <w:r>
            <w:rPr>
              <w:rFonts w:hint="eastAsia"/>
              <w:lang w:val="en-US" w:eastAsia="zh-CN"/>
            </w:rPr>
            <w:instrText xml:space="preserve"> HYPERLINK \l _Toc16983 </w:instrText>
          </w:r>
          <w:r>
            <w:rPr>
              <w:rFonts w:hint="eastAsia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5.2. </w:t>
          </w:r>
          <w:r>
            <w:rPr>
              <w:rFonts w:hint="eastAsia"/>
              <w:lang w:val="en-US" w:eastAsia="zh-CN"/>
            </w:rPr>
            <w:t>注意事项</w:t>
          </w:r>
          <w:r>
            <w:tab/>
          </w:r>
          <w:r>
            <w:fldChar w:fldCharType="begin"/>
          </w:r>
          <w:r>
            <w:instrText xml:space="preserve"> PAGEREF _Toc16983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rPr>
              <w:rFonts w:hint="eastAsia"/>
              <w:lang w:val="en-US" w:eastAsia="zh-CN"/>
            </w:rPr>
            <w:fldChar w:fldCharType="end"/>
          </w:r>
        </w:p>
        <w:p w14:paraId="04ACBE33"/>
        <w:p w14:paraId="145C60DC">
          <w:pPr>
            <w:jc w:val="both"/>
            <w:rPr>
              <w:rFonts w:hint="eastAsia"/>
              <w:lang w:val="en-US" w:eastAsia="zh-CN"/>
            </w:rPr>
          </w:pPr>
          <w:r>
            <w:rPr>
              <w:rFonts w:hint="eastAsia"/>
              <w:lang w:val="en-US" w:eastAsia="zh-CN"/>
            </w:rPr>
            <w:fldChar w:fldCharType="end"/>
          </w:r>
        </w:p>
      </w:sdtContent>
    </w:sdt>
    <w:p w14:paraId="0BB5B9C8">
      <w:pPr>
        <w:pStyle w:val="2"/>
        <w:numPr>
          <w:numId w:val="0"/>
        </w:numPr>
        <w:bidi w:val="0"/>
        <w:ind w:leftChars="0"/>
        <w:rPr>
          <w:rFonts w:hint="eastAsia"/>
          <w:lang w:val="en-US" w:eastAsia="zh-CN"/>
        </w:rPr>
      </w:pPr>
      <w:bookmarkStart w:id="0" w:name="_Toc15646"/>
    </w:p>
    <w:p w14:paraId="0360D2E5">
      <w:pPr>
        <w:rPr>
          <w:rFonts w:hint="eastAsia"/>
          <w:lang w:val="en-US" w:eastAsia="zh-CN"/>
        </w:rPr>
      </w:pPr>
    </w:p>
    <w:p w14:paraId="62A48500">
      <w:pPr>
        <w:rPr>
          <w:rFonts w:hint="eastAsia"/>
          <w:lang w:val="en-US" w:eastAsia="zh-CN"/>
        </w:rPr>
      </w:pPr>
    </w:p>
    <w:p w14:paraId="774D36A4">
      <w:pPr>
        <w:rPr>
          <w:rFonts w:hint="eastAsia"/>
          <w:lang w:val="en-US" w:eastAsia="zh-CN"/>
        </w:rPr>
      </w:pPr>
    </w:p>
    <w:p w14:paraId="6E557378">
      <w:pPr>
        <w:rPr>
          <w:rFonts w:hint="eastAsia"/>
          <w:lang w:val="en-US" w:eastAsia="zh-CN"/>
        </w:rPr>
      </w:pPr>
    </w:p>
    <w:p w14:paraId="4AABFBC3">
      <w:pPr>
        <w:rPr>
          <w:rFonts w:hint="eastAsia"/>
          <w:lang w:val="en-US" w:eastAsia="zh-CN"/>
        </w:rPr>
      </w:pPr>
    </w:p>
    <w:p w14:paraId="099956F9">
      <w:pPr>
        <w:rPr>
          <w:rFonts w:hint="eastAsia"/>
          <w:lang w:val="en-US" w:eastAsia="zh-CN"/>
        </w:rPr>
      </w:pPr>
    </w:p>
    <w:p w14:paraId="7B6CA95D">
      <w:pPr>
        <w:rPr>
          <w:rFonts w:hint="eastAsia"/>
          <w:lang w:val="en-US" w:eastAsia="zh-CN"/>
        </w:rPr>
      </w:pPr>
      <w:bookmarkStart w:id="23" w:name="_GoBack"/>
      <w:bookmarkEnd w:id="23"/>
    </w:p>
    <w:p w14:paraId="742FF75C"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安全警告</w:t>
      </w:r>
      <w:bookmarkEnd w:id="0"/>
    </w:p>
    <w:p w14:paraId="08D309E0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安全警告页标明系统、设备在使用或维修期间可能出现安全事故的警告图示和文字。警告和注意旨在说明危险、最低预防措施和可能发生的后果。</w:t>
      </w:r>
    </w:p>
    <w:p w14:paraId="3F7731DA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" w:name="_Toc13692"/>
      <w:r>
        <w:rPr>
          <w:rFonts w:hint="eastAsia"/>
          <w:lang w:val="en-US" w:eastAsia="zh-CN"/>
        </w:rPr>
        <w:t>警告</w:t>
      </w:r>
      <w:bookmarkEnd w:id="1"/>
    </w:p>
    <w:p w14:paraId="7B0C013F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【最高级别警告】情境意识：始终保持对船舶位置、周围交通、水文气象、船舶状态和仪器读数的全面了解。自满是最大的危险。</w:t>
      </w:r>
    </w:p>
    <w:p w14:paraId="45F4A457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【最高级别警告】有效沟通：船-岸、驾驶台-机舱、驾驶台内部、舵手-引航员之间的沟通必须清晰、无误、复诵确认。语言障碍是重大事故根源。</w:t>
      </w:r>
    </w:p>
    <w:p w14:paraId="28742445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【警告】严格遵守规则：必须严格遵守《国际海上避碰规则》、《国际海上人命安全公约》、《港口特殊规定》及公司安全管理体系。</w:t>
      </w:r>
    </w:p>
    <w:p w14:paraId="6FE11635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【警告】疲劳管理：严禁在过度疲劳状态下值班或操作。合理安排休息，必要时立即报告。</w:t>
      </w:r>
    </w:p>
    <w:p w14:paraId="64D55297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2" w:name="_Toc29424"/>
      <w:r>
        <w:rPr>
          <w:rFonts w:hint="eastAsia"/>
          <w:lang w:val="en-US" w:eastAsia="zh-CN"/>
        </w:rPr>
        <w:t>注意</w:t>
      </w:r>
      <w:bookmarkEnd w:id="2"/>
    </w:p>
    <w:p w14:paraId="617020CA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【注意】记录与交接：所有重要操作、命令、事件必须在航海日志、轮机日志、电子海图记录中准确、及时记载。交接班必须充分、清晰。</w:t>
      </w:r>
    </w:p>
    <w:p w14:paraId="7AB7C971"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bookmarkStart w:id="3" w:name="_Toc17813"/>
      <w:r>
        <w:rPr>
          <w:rFonts w:hint="eastAsia"/>
          <w:lang w:val="en-US" w:eastAsia="zh-CN"/>
        </w:rPr>
        <w:t>概述</w:t>
      </w:r>
      <w:bookmarkEnd w:id="3"/>
    </w:p>
    <w:p w14:paraId="6C41FBC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本文档系统定义了主机的安装、启停、操作、维护、监测及故障处置的全部标准和程序。</w:t>
      </w:r>
    </w:p>
    <w:p w14:paraId="31912B9E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在船舶动力系统中，最核心、最主要的设备是主机，也称为主发动机。</w:t>
      </w:r>
    </w:p>
    <w:p w14:paraId="747FAF4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主机是整个船舶动力系统的“心脏”。它的核心功能是将燃料（如重油、柴油、液化天然气等）的化学能转化为机械能，从而为船舶提供最原始的推进动力。</w:t>
      </w:r>
    </w:p>
    <w:p w14:paraId="05EC77BD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4" w:name="_Toc28823"/>
      <w:r>
        <w:rPr>
          <w:rFonts w:hint="eastAsia"/>
          <w:lang w:val="en-US" w:eastAsia="zh-CN"/>
        </w:rPr>
        <w:t>主要功能</w:t>
      </w:r>
      <w:bookmarkEnd w:id="4"/>
    </w:p>
    <w:p w14:paraId="51F845B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发动机是一个高度集成的复杂系统。其各子设备并非孤立存在，而是通过精密的机械、流体和热力关系，协同完成“化学能→热能→机械能”的转换。</w:t>
      </w:r>
    </w:p>
    <w:p w14:paraId="2B68C15A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1）整机</w:t>
      </w:r>
    </w:p>
    <w:p w14:paraId="7A8DE46B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功能：作为集成平台与能量转换主体，容纳并协调所有子设备工作，最终输出旋转扭矩。</w:t>
      </w:r>
    </w:p>
    <w:p w14:paraId="0B7ACB00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特性：体积庞大（如数层楼高）、质量极重（千吨级）、结构高度刚性。它是船舶动力系统的核心标识。</w:t>
      </w:r>
    </w:p>
    <w:p w14:paraId="6B56E8F5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2）机座</w:t>
      </w:r>
    </w:p>
    <w:p w14:paraId="0EAE25C7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功能：承载基础与力流枢纽。承载主机全部重量及工作内力，并将其平稳传递至船体结构。</w:t>
      </w:r>
    </w:p>
    <w:p w14:paraId="20605E7A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特性：巨型焊接钢结构，具有极高的平面度和刚性。顶面精密加工，用于安装主轴承和定位整机。</w:t>
      </w:r>
    </w:p>
    <w:p w14:paraId="16B7E705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3）曲轴</w:t>
      </w:r>
    </w:p>
    <w:p w14:paraId="737DE3F5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功能：核心运动转换与动力输出轴。将活塞的往复运动转换为旋转运动，汇总各缸功率并以扭矩形式输出。</w:t>
      </w:r>
    </w:p>
    <w:p w14:paraId="158196A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特性：全机最重、最精密的单体锻（焊）件。具有多个曲柄，要求极高的动平衡性、疲劳强度和轴承颈表面硬度。</w:t>
      </w:r>
    </w:p>
    <w:p w14:paraId="0C72A2D6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4）单个气缸单元</w:t>
      </w:r>
    </w:p>
    <w:p w14:paraId="4B58761A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功能：独立的热功转换单元。是燃油燃烧、气体膨胀做功的场所。</w:t>
      </w:r>
    </w:p>
    <w:p w14:paraId="23A314C8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特性：模块化设计。每个单元包括缸套、冷却水套等，可独立制造、安装和维护（吊缸）。其缸径和冲程决定了发动机的单缸排量和基本尺寸。</w:t>
      </w:r>
    </w:p>
    <w:p w14:paraId="256DD494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5）气缸盖</w:t>
      </w:r>
    </w:p>
    <w:p w14:paraId="5AC2340C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功能：燃烧室密封顶盖与阀件集成模块。封闭气缸顶部，形成燃烧室；安装喷油器、进/排气阀、安全阀等。</w:t>
      </w:r>
    </w:p>
    <w:p w14:paraId="0DE9D25D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特性：高强度合金铸铁或铸钢件。内部铸有极其复杂的“钻孔冷却”通道，以承受极高的热负荷和机械负荷。</w:t>
      </w:r>
    </w:p>
    <w:p w14:paraId="4AABD822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6）活塞总成</w:t>
      </w:r>
    </w:p>
    <w:p w14:paraId="66E46299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功能：承压、密封与动力传递关键部件。承受燃气压力，通过活塞环密封燃烧室，并将力通过活塞杆传递出去。</w:t>
      </w:r>
    </w:p>
    <w:p w14:paraId="72678064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特性：由活塞头（带环槽）、活塞环、活塞杆组成。活塞头常采用组合式（钢顶铝裙或全钢）并强制冷却。是工作环境最恶劣的运动件之一。</w:t>
      </w:r>
    </w:p>
    <w:p w14:paraId="488D167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7）涡轮增压器</w:t>
      </w:r>
    </w:p>
    <w:p w14:paraId="2505900C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功能：发动机的“肺”与能量回收器。利用废气能量驱动涡轮，带动同轴压气机压缩新鲜空气，提高进气密度和功率。</w:t>
      </w:r>
    </w:p>
    <w:p w14:paraId="0DC6B309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特性：高速旋转机械（转速可达每分钟数万转）。由涡轮机、压气机、轴承系统及壳体组成，效率直接影响整机性能。</w:t>
      </w:r>
    </w:p>
    <w:p w14:paraId="0813B64B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8）飞轮</w:t>
      </w:r>
    </w:p>
    <w:p w14:paraId="5065FE18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功能：转动惯量储能器与扭矩匀化器。储存动能，利用其巨大转动惯量平滑单次做功产生的扭矩脉动，使输出扭矩平稳。</w:t>
      </w:r>
    </w:p>
    <w:p w14:paraId="6D44B2F4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特性：大型、厚重的轮状铸件，安装在曲轴输出端，质量主要集中在轮缘以最大化转动惯量。</w:t>
      </w:r>
    </w:p>
    <w:p w14:paraId="6B3837AB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9）排气总管</w:t>
      </w:r>
    </w:p>
    <w:p w14:paraId="19EA5132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功能：废气汇集与输送通道。收集各缸高温废气，并将其平稳输送至涡轮增压器及后续的废气锅炉。</w:t>
      </w:r>
    </w:p>
    <w:p w14:paraId="764D5D07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特性：大型耐热钢焊接管道，外部覆盖厚重绝热层以降低热辐射。是定压增压系统的容积缓冲部件。</w:t>
      </w:r>
    </w:p>
    <w:p w14:paraId="26AC301D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10）扫气箱</w:t>
      </w:r>
    </w:p>
    <w:p w14:paraId="18E9A6B6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功能：增压空气稳压分配室。储存经增压和冷却后的新鲜空气，并均匀分配给各个气缸，用于扫除废气和充填新鲜空气。</w:t>
      </w:r>
    </w:p>
    <w:p w14:paraId="10FB9818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特性：环绕在气缸体下部的箱形结构。内部设有导流板，是人孔道门，供检查活塞杆、填料函和缸套。</w:t>
      </w:r>
    </w:p>
    <w:p w14:paraId="30B75557">
      <w:pPr>
        <w:jc w:val="center"/>
      </w:pPr>
      <w:r>
        <w:drawing>
          <wp:inline distT="0" distB="0" distL="114300" distR="114300">
            <wp:extent cx="3926840" cy="5402580"/>
            <wp:effectExtent l="0" t="0" r="1651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BBF3E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各设备之前的关系</w:t>
      </w:r>
    </w:p>
    <w:p w14:paraId="2ACEACA8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力流传递关系（机械联动链）：</w:t>
      </w:r>
    </w:p>
    <w:p w14:paraId="0EE92B5C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核心路径：活塞总成 → 连杆/十字头 → 曲轴 → 飞轮/输出法兰。</w:t>
      </w:r>
    </w:p>
    <w:p w14:paraId="287AF5C4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说明：燃气压力作用于活塞，转化为往复力，经连杆转化为对曲轴的旋转力矩，多缸力矩汇总于曲轴，经飞轮匀化后输出。机座为这条力流链提供绝对稳固的支撑基础，防止变形。</w:t>
      </w:r>
    </w:p>
    <w:p w14:paraId="1EA748C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工作循环关系（热功转换与气体交换链）：</w:t>
      </w:r>
    </w:p>
    <w:p w14:paraId="0D12AE22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核心路径：扫气箱（供气）→ 气缸单元（经气口进入）→ 燃烧室（由气缸盖密封，活塞压缩，喷油燃烧）→ 排气总管（废气经气缸盖上的排气阀排出）→ 涡轮增压器（废气驱动）→ 回到扫气箱（增压空气）。</w:t>
      </w:r>
    </w:p>
    <w:p w14:paraId="10DE6807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说明：这构成了发动机的“呼吸”系统。涡轮增压器是关键驱动部件，它利用废气的余能，提升进气压力，使“呼吸”更高效，形成良性循环。</w:t>
      </w:r>
    </w:p>
    <w:p w14:paraId="62F715D7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支撑与包容关系（结构框架）：</w:t>
      </w:r>
    </w:p>
    <w:p w14:paraId="3593B6B7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核心：整机的钢结构框架（包括机架、壳体）将所有子设备包容和定位在一起。机座是其根基。</w:t>
      </w:r>
    </w:p>
    <w:p w14:paraId="7856EC31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说明：气缸单元安装在机架上，曲轴轴承座集成在机座上，涡轮增压器、排气总管等均固定在主机结构上。这个框架确保了所有部件间精确、稳定的相对位置。</w:t>
      </w:r>
    </w:p>
    <w:p w14:paraId="37D83166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调控与辅助关系（保证正常工作）：</w:t>
      </w:r>
    </w:p>
    <w:p w14:paraId="7CC5F118">
      <w:pPr>
        <w:numPr>
          <w:ilvl w:val="0"/>
          <w:numId w:val="0"/>
        </w:numPr>
        <w:spacing w:line="360" w:lineRule="auto"/>
        <w:ind w:firstLine="42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说明：虽然问题中未列出，但润滑系统为曲轴、十字头、气缸壁等提供润滑与冷却；冷却系统为气缸盖、缸套、活塞、增压空气等带走热量。这些系统像“血液”和“汗腺”一样服务于上述所有产生力和热的部件，是它们长期可靠运行的保障。</w:t>
      </w:r>
    </w:p>
    <w:p w14:paraId="598B8E13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b/>
          <w:lang w:val="en-US" w:eastAsia="zh-CN"/>
        </w:rPr>
      </w:pPr>
      <w:bookmarkStart w:id="5" w:name="_Toc31475"/>
      <w:r>
        <w:rPr>
          <w:rFonts w:hint="eastAsia"/>
          <w:b/>
          <w:lang w:val="en-US" w:eastAsia="zh-CN"/>
        </w:rPr>
        <w:t>工作条件</w:t>
      </w:r>
      <w:bookmarkEnd w:id="5"/>
    </w:p>
    <w:p w14:paraId="4260B6AD">
      <w:pPr>
        <w:bidi w:val="0"/>
        <w:jc w:val="center"/>
      </w:pPr>
      <w:r>
        <w:drawing>
          <wp:inline distT="0" distB="0" distL="114300" distR="114300">
            <wp:extent cx="5273040" cy="3952875"/>
            <wp:effectExtent l="0" t="0" r="3810" b="952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2A1A92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发动机工作条件</w:t>
      </w:r>
    </w:p>
    <w:p w14:paraId="049BB8EA">
      <w:pPr>
        <w:pStyle w:val="4"/>
        <w:bidi w:val="0"/>
        <w:rPr>
          <w:rFonts w:hint="eastAsia"/>
          <w:lang w:val="en-US" w:eastAsia="zh-CN"/>
        </w:rPr>
      </w:pPr>
      <w:bookmarkStart w:id="6" w:name="_Toc7463"/>
      <w:r>
        <w:rPr>
          <w:rFonts w:hint="eastAsia"/>
          <w:lang w:val="en-US" w:eastAsia="zh-CN"/>
        </w:rPr>
        <w:t>2.2.1正常运行条件</w:t>
      </w:r>
      <w:bookmarkEnd w:id="6"/>
    </w:p>
    <w:p w14:paraId="03453670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1）</w:t>
      </w:r>
      <w:r>
        <w:rPr>
          <w:rFonts w:ascii="Times New Roman" w:hAnsi="Times New Roman" w:eastAsia="宋体" w:cs="Times New Roman"/>
          <w:sz w:val="28"/>
          <w:szCs w:val="28"/>
        </w:rPr>
        <w:t>环境条件</w:t>
      </w:r>
    </w:p>
    <w:p w14:paraId="69D296F6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环境条件</w:t>
      </w:r>
    </w:p>
    <w:tbl>
      <w:tblPr>
        <w:tblStyle w:val="1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99"/>
        <w:gridCol w:w="1728"/>
        <w:gridCol w:w="3237"/>
        <w:gridCol w:w="2487"/>
      </w:tblGrid>
      <w:tr w14:paraId="3A2F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53E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环境条件类别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E0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具体参数/现象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D0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标准范围/典型要求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C0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对发动机的影响与设计要求</w:t>
            </w:r>
          </w:p>
        </w:tc>
      </w:tr>
      <w:tr w14:paraId="211CC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BCC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振动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8A1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来自主机自身、轴系及船体的周期性振荡。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2AA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频率范围：通常5-100 Hz。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振幅：根据安装位置和频率有严格限制，需符合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IEC 60092-401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或船级社规范（如 CCS、DNV GL）。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DC1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防止部件疲劳断裂、螺栓松动、仪表误报。要求发动机结构刚性强，安装基座有良好抗振设计，管路、电缆采用柔性连接和有效固定。</w:t>
            </w:r>
          </w:p>
        </w:tc>
      </w:tr>
      <w:tr w14:paraId="4F0D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746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颠震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7E2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中等海况下，船体持续的垂向起伏运动（低频大幅值）。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E1E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加速度：通常 ≤ 0.7g。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频率：约0.1-0.3 Hz。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42A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产生持续的周期性惯性载荷，考验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机座、地脚螺栓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及主机重型运动部件（如曲轴）的结构疲劳强度。</w:t>
            </w:r>
          </w:p>
        </w:tc>
      </w:tr>
      <w:tr w14:paraId="500B7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D0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冲击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93B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由碰撞、触底、爆炸或恶劣海况（砰击）引起的瞬态高强度激励。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0EF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军用标准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：如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MIL-S-901D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（重型设备测试）。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民用标准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：参考IEC 60068-2-27，模拟高能冲击。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8C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考验发动机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结构完整性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安装牢固性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的极限。要求发动机及其安装系统能承受瞬时高G值冲击而不发生永久变形、断裂或功能丧失。</w:t>
            </w:r>
          </w:p>
        </w:tc>
      </w:tr>
      <w:tr w14:paraId="65BDA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01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空气温度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89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机舱环境温度。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98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标准范围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：0°C 至 +45°C（或高达 +55°C）。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储存/非运行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：-25°C 至 +70°C。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FAB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：考验冷却系统最大散热能力，电气设备绝缘等级（通常F级或H级）。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低温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：需配备预热装置（缸套水、滑油加热器）以保证冷启动，防止材料脆化。</w:t>
            </w:r>
          </w:p>
        </w:tc>
      </w:tr>
      <w:tr w14:paraId="05ACC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271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相对湿度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930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机舱内空气湿度，含盐雾。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16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≤ 95%（非冷凝）至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凝露条件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盐雾环境：符合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ISO 9227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盐雾试验要求。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19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考验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电气绝缘、金属腐蚀、电子元器件可靠性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。要求设备具有高防护等级（如IP56）、三防处理（防潮、防霉、防盐雾）、使用耐腐蚀材料。</w:t>
            </w:r>
          </w:p>
        </w:tc>
      </w:tr>
      <w:tr w14:paraId="60AC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203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大气压力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AE3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对应不同海拔高度的进气压力。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928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通常按海平面至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+2500米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海拔设计（非增压辅助发动机需考虑功率修正）。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093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影响自然吸气式发动机的进气量。涡轮增压主机通过增压器补偿，但压气机设计需考虑进气密度变化范围，保证额定扫气压力。</w:t>
            </w:r>
          </w:p>
        </w:tc>
      </w:tr>
      <w:tr w14:paraId="453F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676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航速与负荷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9DD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发动机输出功率范围及变化率。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3C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稳定运行范围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：通常25%-100% MCR（最大持续功率）。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超负荷能力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：短期110% MCR。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负荷变化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：能适应机动航行时的快速变载。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20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要求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燃烧系统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在宽负荷范围内稳定高效；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调速器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响应迅速、精度高；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增压器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有防喘振设计以适应流量剧变。</w:t>
            </w:r>
          </w:p>
        </w:tc>
      </w:tr>
      <w:tr w14:paraId="4E36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DBB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长期倾斜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C4E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因货物装载不均导致的船舶静态倾斜。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47D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持续横倾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：≤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15°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持续纵倾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：≤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63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考验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滑油系统、燃油系统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的吸油能力。油底壳、循环柜、日用柜的吸口位置和结构必须确保在任何规定倾斜角下泵不吸空，润滑不中断。</w:t>
            </w:r>
          </w:p>
        </w:tc>
      </w:tr>
      <w:tr w14:paraId="4CA6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BF1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持续摇摆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0EF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风浪中船舶的周期性动态摇摆。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BF9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动态横摇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：±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22.5°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至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25°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（周期约10秒）。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动态纵摇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：±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7.5°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至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（周期约6秒）。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3A1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产生周期性惯性力，考验所有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管路、附件、柜体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的固定强度，防止因晃动导致松动、磨损、泄漏或共振。设备重心宜低。</w:t>
            </w:r>
          </w:p>
        </w:tc>
      </w:tr>
      <w:tr w14:paraId="0C49E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0F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海况（综合）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FE4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对应IMO海况等级的综合恶劣环境。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BEA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设计通常满足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IMO 海况 5级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（大浪）下安全运行，部分要求至6级（巨浪）。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757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综合考验上述所有条件。最严峻挑战之一是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螺旋桨出水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导致的发动机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瞬时飞车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突卸负荷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，要求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超速保护装置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调速系统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绝对可靠、响应极快。</w:t>
            </w:r>
          </w:p>
        </w:tc>
      </w:tr>
    </w:tbl>
    <w:p w14:paraId="001551B1">
      <w:pPr>
        <w:numPr>
          <w:ilvl w:val="0"/>
          <w:numId w:val="0"/>
        </w:num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8"/>
          <w:szCs w:val="28"/>
        </w:rPr>
      </w:pPr>
    </w:p>
    <w:p w14:paraId="5F3413A5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2）能源条件</w:t>
      </w:r>
    </w:p>
    <w:p w14:paraId="76653B9F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能源条件</w:t>
      </w:r>
    </w:p>
    <w:tbl>
      <w:tblPr>
        <w:tblStyle w:val="1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5"/>
        <w:gridCol w:w="1383"/>
        <w:gridCol w:w="3222"/>
        <w:gridCol w:w="2791"/>
      </w:tblGrid>
      <w:tr w14:paraId="7EB2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6A8B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能源类别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9CC3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具体介质/系统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ADC2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质量标准与供应要求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F9B75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对发动机的核心作用与影响</w:t>
            </w:r>
          </w:p>
        </w:tc>
      </w:tr>
      <w:tr w14:paraId="1C07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D950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冷却淡水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54AC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缸套水、活塞水（闭式循环）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1110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水质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：去离子或软化淡水，添加防锈、防垢、防蚀抑制剂（如硼酸盐、亚硝酸盐）。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：2-4 bar（进机）。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：出口85-95°C（高温冷却），需自动温控。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C023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核心散热介质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。带走缸套、气缸盖、活塞等高温部件的热量，维持金属材料强度，防止过热变形或拉缸。水质不良会导致结垢、腐蚀和流道堵塞。</w:t>
            </w:r>
          </w:p>
        </w:tc>
      </w:tr>
      <w:tr w14:paraId="3D55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B7BC6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中央冷却海水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AF09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主海水（开式循环）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1F36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水质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：过滤（滤网精度通常≥2mm），无大型异物。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：2-3 bar（进中央冷却器）。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：设计上限通常≤32°C（热带工况）。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2227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最终热阱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。在中央冷却器中冷却闭式循环的淡水、滑油和增压空气。供应中断或不足将导致全船冷却系统失效，主机高温停车。</w:t>
            </w:r>
          </w:p>
        </w:tc>
      </w:tr>
      <w:tr w14:paraId="04B0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F42C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主电源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A301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440V / 60Hz 或 380V / 50Hz 三相交流电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58AD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：稳态波动范围通常为 ±10%。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频率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：稳态波动范围通常为 ±5%。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可靠性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：需由主发电机、轴带发电机或应急发电机保障连续供电。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D0DD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为所有辅助设备提供动力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。驱动滑油泵、冷却水泵、燃油供给泵、控制与监测系统。电压/频率不稳会导致电机过热、控制失灵。失电将直接导致主机停车。</w:t>
            </w:r>
          </w:p>
        </w:tc>
      </w:tr>
      <w:tr w14:paraId="46962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CECC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控制电源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DB493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24V DC 或 220V AC 单相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96AD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连续性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：通常由主配电板和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不间断电源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共同保障，切换时间&lt;10ms。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纯净度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：低纹波、无尖峰干扰。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E36A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为自动化“大脑”供能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。服务于调速器、电控喷油系统（如共轨）、安保系统、所有传感器与控制器。断电或扰动将导致控制失灵、停机或安全风险。</w:t>
            </w:r>
          </w:p>
        </w:tc>
      </w:tr>
      <w:tr w14:paraId="7575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2B663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8944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重油 / 船用柴油 / 液化天然气等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DB32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质量标准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：符合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ISO 8217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船用燃料标准，严格控制粘度、密度、硫含量、残碳值、铝+硅含量（催化剂粉末）。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供应条件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：进机前需经净化（离心分离）、加热至设定粘度（如13-15cSt）、稳压过滤。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05C2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能量来源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。燃油品质是影响主机寿命、效率和排放的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首要因素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。劣质油会导致喷油器磨损、缸套腐蚀、涡轮增压器脏堵、排放超标。</w:t>
            </w:r>
          </w:p>
        </w:tc>
      </w:tr>
      <w:tr w14:paraId="200E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902F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系统滑油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A8AD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曲轴箱油（系统油）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0CAC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质量标准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：符合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SAE 30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或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SAE 40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 等级，具有合适的碱值、抗氧化性和清洁分散性。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供应条件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：压力稳定（3-5 bar），温度可控（45-55°C），连续过滤净化（自清滤器、分油机）。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3E6E4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运动部件的“血液”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。润滑主轴承、曲柄销轴承、十字头轴承，并带走摩擦热和杂质。油压失压会触发紧急停车。油质劣化会导致磨损加剧甚至轴承烧熔。</w:t>
            </w:r>
          </w:p>
        </w:tc>
      </w:tr>
      <w:tr w14:paraId="12892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D37D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73DEA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高碱值气缸油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7A7C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质量标准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：碱值（BN）与所用燃油硫含量匹配（如BN70用于高硫油）。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供应条件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：定时、定量、定点（电子注油器）喷入气缸壁。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D3B69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气缸内特殊润滑与中和剂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。在高温高压下润滑活塞环与缸套，并中和燃烧产生的硫酸，防止低温腐蚀。注油率不当会导致过度磨损或积碳。</w:t>
            </w:r>
          </w:p>
        </w:tc>
      </w:tr>
      <w:tr w14:paraId="5752B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695C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启动与控制空气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AF97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高压压缩空气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4973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启动空气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：压力≥2.5-3.0 MPa，干燥、洁净。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控制空气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：压力0.7-0.8 MPa，需经减压、过滤、干燥，品质更高。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5845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启动动力源与控制介质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。启动空气用于推动活塞启动主机。控制空气驱动气动阀门、操纵机构。含水含油会导致管路腐蚀、阀门卡滞、冬季结冰。</w:t>
            </w:r>
          </w:p>
        </w:tc>
      </w:tr>
      <w:tr w14:paraId="24955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7490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扫气/增压空气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4140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经增压和冷却的新鲜空气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11ED7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：2.5-4.5 bar（绝对压力），取决于负荷。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：经空冷器后约45-50°C。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清洁度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：经压气机和滤器过滤。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D1765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燃烧的“氧气”供应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。高密度空气确保燃油充分燃烧，提高功率和效率。空气量不足会导致燃烧恶化、排温升高、冒黑烟。</w:t>
            </w:r>
          </w:p>
        </w:tc>
      </w:tr>
      <w:tr w14:paraId="3953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A30B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燃料气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0B6E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液化天然气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9C98A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品质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：符合燃料气供应协议，主要是甲烷含量、露点、温度等。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供应条件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：双燃料发动机需在燃油/燃气模式间稳定切换，燃气压力、温度需精确控制。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374E4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替代燃料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。在双燃料发动机中，作为主要能源，要求供应系统高度安全（防泄漏、防爆），控制策略复杂，需实现无缝模式切换。</w:t>
            </w:r>
          </w:p>
        </w:tc>
      </w:tr>
      <w:tr w14:paraId="28B35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725D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加热与驱动蒸汽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EB7D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低压饱和蒸汽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A777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：通常0.6-0.8 MPa。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品质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：干燥、洁净。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D0A9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辅助能源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。用于加热重油日用柜、沉淀柜，驱动燃油/滑油分油机，或为生活设备供热。虽不直接用于主机做功，但对保障燃油流动性、净化处理至关重要。</w:t>
            </w:r>
          </w:p>
        </w:tc>
      </w:tr>
    </w:tbl>
    <w:p w14:paraId="519DB698">
      <w:pPr>
        <w:pStyle w:val="4"/>
        <w:bidi w:val="0"/>
        <w:rPr>
          <w:rFonts w:hint="eastAsia"/>
          <w:lang w:val="en-US" w:eastAsia="zh-CN"/>
        </w:rPr>
      </w:pPr>
      <w:bookmarkStart w:id="7" w:name="_Toc2142"/>
      <w:r>
        <w:rPr>
          <w:rFonts w:hint="eastAsia"/>
          <w:lang w:val="en-US" w:eastAsia="zh-CN"/>
        </w:rPr>
        <w:t>2.2.2非正常运行条件</w:t>
      </w:r>
      <w:bookmarkEnd w:id="7"/>
    </w:p>
    <w:p w14:paraId="1D362890">
      <w:pPr>
        <w:spacing w:line="520" w:lineRule="exact"/>
        <w:ind w:firstLine="560" w:firstLineChars="20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本节对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发动机</w:t>
      </w:r>
      <w:r>
        <w:rPr>
          <w:rFonts w:hint="eastAsia" w:ascii="Times New Roman" w:hAnsi="Times New Roman" w:eastAsia="宋体" w:cs="Times New Roman"/>
          <w:sz w:val="28"/>
          <w:szCs w:val="28"/>
        </w:rPr>
        <w:t>非</w:t>
      </w:r>
      <w:r>
        <w:rPr>
          <w:rFonts w:ascii="Times New Roman" w:hAnsi="Times New Roman" w:eastAsia="宋体" w:cs="Times New Roman"/>
          <w:sz w:val="28"/>
          <w:szCs w:val="28"/>
        </w:rPr>
        <w:t>正常运行</w:t>
      </w:r>
      <w:r>
        <w:rPr>
          <w:rFonts w:hint="eastAsia" w:ascii="Times New Roman" w:hAnsi="Times New Roman" w:eastAsia="宋体" w:cs="Times New Roman"/>
          <w:sz w:val="28"/>
          <w:szCs w:val="28"/>
        </w:rPr>
        <w:t>条件进行说明</w:t>
      </w:r>
      <w:r>
        <w:rPr>
          <w:rFonts w:ascii="Times New Roman" w:hAnsi="Times New Roman" w:eastAsia="宋体" w:cs="Times New Roman"/>
          <w:sz w:val="28"/>
          <w:szCs w:val="28"/>
        </w:rPr>
        <w:t>。</w:t>
      </w:r>
      <w:r>
        <w:rPr>
          <w:rFonts w:hint="eastAsia"/>
          <w:sz w:val="28"/>
          <w:szCs w:val="28"/>
        </w:rPr>
        <w:t>明确外部输入条件的变化可能对</w:t>
      </w:r>
      <w:r>
        <w:rPr>
          <w:rFonts w:hint="eastAsia"/>
          <w:sz w:val="28"/>
          <w:szCs w:val="28"/>
          <w:lang w:val="en-US" w:eastAsia="zh-CN"/>
        </w:rPr>
        <w:t>发动机</w:t>
      </w:r>
      <w:r>
        <w:rPr>
          <w:rFonts w:hint="eastAsia"/>
          <w:sz w:val="28"/>
          <w:szCs w:val="28"/>
        </w:rPr>
        <w:t>造成的故障。同时</w:t>
      </w:r>
      <w:r>
        <w:rPr>
          <w:rFonts w:hint="eastAsia" w:ascii="Times New Roman" w:hAnsi="Times New Roman" w:eastAsia="宋体" w:cs="Times New Roman"/>
          <w:sz w:val="28"/>
          <w:szCs w:val="28"/>
        </w:rPr>
        <w:t>描述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发动机</w:t>
      </w:r>
      <w:r>
        <w:rPr>
          <w:rFonts w:hint="eastAsia" w:ascii="Times New Roman" w:hAnsi="Times New Roman" w:eastAsia="宋体" w:cs="Times New Roman"/>
          <w:sz w:val="28"/>
          <w:szCs w:val="28"/>
        </w:rPr>
        <w:t>因故障会导致非正常输出条件可能会导致其他设备故障。</w:t>
      </w:r>
    </w:p>
    <w:p w14:paraId="10783D4D">
      <w:pPr>
        <w:pStyle w:val="5"/>
        <w:keepNext/>
        <w:spacing w:line="360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非正常输入条件及产生后果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7"/>
        <w:gridCol w:w="1172"/>
        <w:gridCol w:w="3199"/>
        <w:gridCol w:w="3563"/>
      </w:tblGrid>
      <w:tr w14:paraId="61D1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9299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E0FD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D815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非正常输入条件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8951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可能产生后果</w:t>
            </w:r>
          </w:p>
        </w:tc>
      </w:tr>
      <w:tr w14:paraId="57126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B121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CA99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4BDF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水分/杂质含量超标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粘度/温度不匹配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硫含量过高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供应中断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7785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喷油器腐蚀/雾化不良 → 燃烧恶化、排温高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过滤器堵塞、高压泵磨损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低温腐蚀加剧（需匹配的气缸油）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发动机失速、停车，可能造成空气进入系统</w:t>
            </w:r>
          </w:p>
        </w:tc>
      </w:tr>
      <w:tr w14:paraId="3B8B9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6C32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CE76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6A06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压力过低/失压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油位过低/油量不足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油质劣化（稀释、污染）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温度异常升高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7A5D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轴承润滑失效 → 轴承烧熔、拉缸、曲轴损伤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泵吸空、系统循环中断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润滑性能下降 → 磨损加剧、油泥堵塞油道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粘度下降、氧化加速、密封件老化</w:t>
            </w:r>
          </w:p>
        </w:tc>
      </w:tr>
      <w:tr w14:paraId="69911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2211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3AA4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5C9F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流量不足/中断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水质恶化（结垢、腐蚀）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温度异常升高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添加剂失效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A5CC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局部过热 → 缸盖/缸套裂纹、活塞拉缸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热交换效率下降、流道堵塞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冷却能力下降 → 整体过热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金属腐蚀、微生物滋生</w:t>
            </w:r>
          </w:p>
        </w:tc>
      </w:tr>
      <w:tr w14:paraId="5FFD6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40B8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42B8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3EC3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压力不足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含水量高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含油量高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5CA7D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启动失败或转速过低无法发火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冬季结冰堵塞管路、气缸内腐蚀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进气道和气缸积碳、污染</w:t>
            </w:r>
          </w:p>
        </w:tc>
      </w:tr>
      <w:tr w14:paraId="359D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AC20E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BD678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增压空气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9E77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压力过低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温度过高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空冷器脏堵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CC4D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燃烧缺氧 → 功率下降、冒黑烟、排温升高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进气密度降低 → 功率下降、爆温升高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压降增大、增压器效率下降</w:t>
            </w:r>
          </w:p>
        </w:tc>
      </w:tr>
      <w:tr w14:paraId="08B40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A49FE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BCF3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电力供应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D0170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电压/频率波动大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瞬时断电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持续欠压/过压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60A64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电动辅泵转速不稳、控制仪表误动作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关键辅泵停转 → 连锁故障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电机过热烧毁、电子元件损坏</w:t>
            </w:r>
          </w:p>
        </w:tc>
      </w:tr>
      <w:tr w14:paraId="4BBCE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5CCA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15C0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控制信号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8071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信号干扰/丢失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传感器失效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9201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调速不稳、喷油/排气阀控制异常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误报警、误停机或丧失保护</w:t>
            </w:r>
          </w:p>
        </w:tc>
      </w:tr>
      <w:tr w14:paraId="7427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C32ED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801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环境条件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5AC2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进气滤器严重脏堵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高温高湿环境（机舱通风失效）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BD73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进气阻力增大 → 增压器喘振、功率下降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冷却效率降低、电气设备绝缘下降</w:t>
            </w:r>
          </w:p>
        </w:tc>
      </w:tr>
    </w:tbl>
    <w:p w14:paraId="6EE7AF52"/>
    <w:p w14:paraId="5B454137">
      <w:pPr>
        <w:pStyle w:val="5"/>
        <w:keepNext/>
        <w:spacing w:line="360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设备故障非正常输出条件及可能产生后果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7"/>
        <w:gridCol w:w="1896"/>
        <w:gridCol w:w="2177"/>
        <w:gridCol w:w="3951"/>
      </w:tblGrid>
      <w:tr w14:paraId="20ED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84980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E219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故障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4F77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非正常输出条件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9A8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可能产生的后果（对其他设备/系统）</w:t>
            </w:r>
          </w:p>
        </w:tc>
      </w:tr>
      <w:tr w14:paraId="5F80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21DD5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4DEDD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曲轴箱爆炸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FEEFE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高温高压燃气/油雾瞬间喷发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CC62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破坏性冲击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：损坏机舱设备、伤及人员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火灾风险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：引燃泄漏油类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污染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：油雾覆盖电气设备导致绝缘下降、短路风险</w:t>
            </w:r>
          </w:p>
        </w:tc>
      </w:tr>
      <w:tr w14:paraId="0AB5B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7481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209B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扫气箱着火/爆炸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87AA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高温火焰、压力冲击波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3C83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损坏扫气系统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：烧毁扫气箱内部涂层、损坏空冷器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引发二次火灾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：火焰可能窜入相邻空间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增压器损伤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：废气涡轮可能吸入火焰或碎片</w:t>
            </w:r>
          </w:p>
        </w:tc>
      </w:tr>
      <w:tr w14:paraId="1BFD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59A59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C47E9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排气温度异常超高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9419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整体排温高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单缸排温极高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2A26A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废气锅炉过载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：管路过热、内部结垢加剧、爆管风险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涡轮增压器超温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：涡轮叶片材料强度下降、蠕变损伤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排烟管/隔热层烧损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：引发火灾风险</w:t>
            </w:r>
          </w:p>
        </w:tc>
      </w:tr>
      <w:tr w14:paraId="2E378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C5F94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CC365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严重敲缸/爆震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3186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异常高频压力波、剧烈机械振动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D502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结构传递振动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：导致相邻设备（如发电机、泵组）基础松动、管路接头泄漏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轴系损伤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：扭振加剧，可能导致中间轴、推力轴轴承损坏或联轴器失效</w:t>
            </w:r>
          </w:p>
        </w:tc>
      </w:tr>
      <w:tr w14:paraId="3B88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8205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41DA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滑油系统污染/泄漏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1612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大量滑油进入冷却水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滑油泄漏至舱底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8FF7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冷却系统污染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：冷却器堵塞、传热恶化，污染整个冷却水系统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环境与安全风险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：舱底油污增加，处理负荷加大；地面湿滑带来人员安全风险；可能违反防污染规定</w:t>
            </w:r>
          </w:p>
        </w:tc>
      </w:tr>
      <w:tr w14:paraId="4754C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6B9F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89EC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燃油系统高压油管破裂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6D327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高压燃油雾化喷射（可能成雾状或液柱）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9976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机舱火灾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：燃油接触高温表面（如排气管）极易起火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油雾扩散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：污染电气设备、恶化工作环境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燃油浪费与压力失衡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：导致该缸失功，其余缸负荷不均</w:t>
            </w:r>
          </w:p>
        </w:tc>
      </w:tr>
      <w:tr w14:paraId="22893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65CF7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EABD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主机突然停车/飞车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A94F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动力瞬间丧失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转速失控飙升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77D2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船舶失控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：在狭水道或密集航区极端危险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轴系扭振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：突然卸载或超速可能激发强烈扭振，损坏齿轮箱、联轴器、螺旋桨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电站冲击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：若为轴带发电，会导致电网失电或频率崩溃</w:t>
            </w:r>
          </w:p>
        </w:tc>
      </w:tr>
      <w:tr w14:paraId="5BA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BFE6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7D3E2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冷却水泄漏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1C764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高温高压水/水蒸气喷射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6DCAE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电气设备短路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：喷洒到配电板、电机上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人员烫伤风险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系统失压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：导致主机因高温报警而减速或停车</w:t>
            </w:r>
          </w:p>
        </w:tc>
      </w:tr>
      <w:tr w14:paraId="76867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5EFA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32B3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排气阀故障（烧损/卡滞）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6910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高温燃气下窜/排气不畅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101D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扫气箱污染/着火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：高温燃气进入扫气箱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涡轮增压器损伤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：可能吸入熔融的金属碎屑，打伤涡轮叶片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活塞/缸套过热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：排气不畅导致换气不良，缸内温度升高</w:t>
            </w:r>
          </w:p>
        </w:tc>
      </w:tr>
      <w:tr w14:paraId="652C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845E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586DF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涡轮增压器故障（喘振、叶片损坏）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F9EC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进气压力剧烈波动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异响与振动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碎片进入气缸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B5F28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发动机工作不稳定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：燃烧恶化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进/排气系统机械损伤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：可能打坏空冷器翅片、排气阀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引发次生机械故障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：碎片进入气缸可能导致活塞、缸盖损伤</w:t>
            </w:r>
          </w:p>
        </w:tc>
      </w:tr>
    </w:tbl>
    <w:p w14:paraId="25C6929B">
      <w:pPr>
        <w:rPr>
          <w:rFonts w:hint="default"/>
          <w:lang w:val="en-US" w:eastAsia="zh-CN"/>
        </w:rPr>
      </w:pPr>
    </w:p>
    <w:p w14:paraId="06F49FEB"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bookmarkStart w:id="8" w:name="_Toc20528"/>
      <w:r>
        <w:rPr>
          <w:rFonts w:hint="eastAsia"/>
          <w:lang w:val="en-US" w:eastAsia="zh-CN"/>
        </w:rPr>
        <w:t>组成、技术特征及接口</w:t>
      </w:r>
      <w:bookmarkEnd w:id="8"/>
    </w:p>
    <w:p w14:paraId="65880738">
      <w:pPr>
        <w:spacing w:line="360" w:lineRule="auto"/>
        <w:ind w:firstLine="420" w:firstLineChars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以下部分介绍发动机的组成、工作原理、技术指标、接口情况、布置情况，从各方面知悉发动机的基本信息。</w:t>
      </w:r>
    </w:p>
    <w:p w14:paraId="17791BC3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9" w:name="_Toc8069"/>
      <w:r>
        <w:rPr>
          <w:rFonts w:hint="eastAsia"/>
          <w:lang w:val="en-US" w:eastAsia="zh-CN"/>
        </w:rPr>
        <w:t>组成</w:t>
      </w:r>
      <w:bookmarkEnd w:id="9"/>
    </w:p>
    <w:p w14:paraId="5F5FDE24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040" cy="5490845"/>
            <wp:effectExtent l="0" t="0" r="3810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490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347F25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发动机组成</w:t>
      </w:r>
    </w:p>
    <w:p w14:paraId="37EEF2F7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发动机组成表</w:t>
      </w:r>
    </w:p>
    <w:tbl>
      <w:tblPr>
        <w:tblStyle w:val="12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9"/>
        <w:gridCol w:w="1617"/>
        <w:gridCol w:w="5485"/>
        <w:gridCol w:w="1656"/>
      </w:tblGrid>
      <w:tr w14:paraId="2848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6BE3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BAF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组成部分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4EF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功能简述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6787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</w:tr>
      <w:tr w14:paraId="78B07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678F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DE289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机座/底座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54CE1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支撑整台发动机，安装曲轴，传递推力至船体。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E1AE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838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E967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56C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机架/壳体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9E2F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与机座、气缸体连接，构成发动机主体框架，引导十字头运动。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DDB8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7775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43F27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89408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气缸体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96A7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形成气缸空间，安装缸套，是燃烧做功的场所。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1AB60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1（多缸一体或分组）</w:t>
            </w:r>
          </w:p>
        </w:tc>
      </w:tr>
      <w:tr w14:paraId="4A94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EA2B5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80F5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气缸盖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3644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密封气缸顶部，安装喷油器、进排气阀等，构成燃烧室。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F65F5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</w:t>
            </w:r>
          </w:p>
        </w:tc>
      </w:tr>
      <w:tr w14:paraId="04A5F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F7BC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CC27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扫气箱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6DFA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收集并分配经增压后的新鲜空气至各气缸。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DF7A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221F7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89E5F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B17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排气总管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820EF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汇集各缸废气，输送至涡轮增压器及废气锅炉。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E1AED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7F2C5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FD3B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55E1B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活塞组件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4C62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承受燃气压力，在气缸内做往复运动，是能量转换的核心。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93EA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</w:t>
            </w:r>
          </w:p>
        </w:tc>
      </w:tr>
      <w:tr w14:paraId="4D792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9A25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EDA3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活塞杆与十字头组件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6918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连接活塞与连杆，将活塞的往复运动传递给连杆，并承受侧推力。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4FB82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</w:t>
            </w:r>
          </w:p>
        </w:tc>
      </w:tr>
      <w:tr w14:paraId="7E61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21DDE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429A2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连杆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6134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连接十字头（或活塞销）与曲轴，将往复运动转化为旋转运动。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68E4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</w:t>
            </w:r>
          </w:p>
        </w:tc>
      </w:tr>
      <w:tr w14:paraId="7F7E1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975B4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195D0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F152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将连杆传递的力转化为旋转扭矩输出，驱动螺旋桨及附属设备。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90C3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36699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07E14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82DE6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主轴承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00DE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支撑曲轴，保证其平稳旋转。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7C770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多个（曲轴轴颈数+1）</w:t>
            </w:r>
          </w:p>
        </w:tc>
      </w:tr>
      <w:tr w14:paraId="1E959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7D7DE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BE362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凸轮轴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C0E3F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驱动进/排气阀、燃油喷射泵等，控制发动机正时。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4B1D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1或多根</w:t>
            </w:r>
          </w:p>
        </w:tc>
      </w:tr>
      <w:tr w14:paraId="5967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FC657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F529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高压燃油泵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B46C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在精确时刻产生极高压力的燃油，供给喷油器。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AEF4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与缸数相同或减半</w:t>
            </w:r>
          </w:p>
        </w:tc>
      </w:tr>
      <w:tr w14:paraId="2AB94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27AD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63F2A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喷油器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E082E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将高压燃油雾化喷入气缸，实现与空气的混合。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B5A0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</w:t>
            </w:r>
          </w:p>
        </w:tc>
      </w:tr>
      <w:tr w14:paraId="298A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74639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C3E3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燃油供给单元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249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对燃油进行加压、加热、过滤和粘度控制。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EBD72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3037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BA93F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86CE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涡轮增压器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21FE6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利用废气能量驱动，压缩新鲜空气，提高进气密度和发动机功率。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FFAFF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1-2台</w:t>
            </w:r>
          </w:p>
        </w:tc>
      </w:tr>
      <w:tr w14:paraId="36E92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535E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65843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空气冷却器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0788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冷却增压后的高温空气，进一步提高进气密度。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70406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1-2个</w:t>
            </w:r>
          </w:p>
        </w:tc>
      </w:tr>
      <w:tr w14:paraId="0BC5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4DDAD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7822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进气阀/排气阀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15C4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控制气缸的进气和排气过程。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0603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每缸至少各1个</w:t>
            </w:r>
          </w:p>
        </w:tc>
      </w:tr>
      <w:tr w14:paraId="5729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D903C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4C64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主滑油泵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7F211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提供压力滑油，润滑曲轴、连杆、十字头等主轴承。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1F5A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1-2台（主/备）</w:t>
            </w:r>
          </w:p>
        </w:tc>
      </w:tr>
      <w:tr w14:paraId="686B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E7C3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8410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气缸油注油器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1FBDD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定时、定量向气缸壁注入专用润滑油。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DEBF5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与缸数相同（多点）</w:t>
            </w:r>
          </w:p>
        </w:tc>
      </w:tr>
      <w:tr w14:paraId="6B44A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880B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CAD8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滑油冷却器与滤器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5CBA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冷却和净化滑油，保持其性能。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0848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20BE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A6F0F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E23DD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缸套水冷却泵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CFD6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循环冷却水，带走气缸套、气缸盖的热量。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6EB0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1-2台（主/备）</w:t>
            </w:r>
          </w:p>
        </w:tc>
      </w:tr>
      <w:tr w14:paraId="0383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27C1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6FB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活塞冷却泵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41213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循环专用冷却介质（油或水），冷却承受高热负荷的活塞。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3E1F1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1-2台（主/备）</w:t>
            </w:r>
          </w:p>
        </w:tc>
      </w:tr>
      <w:tr w14:paraId="42496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287A4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FE9C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中央冷却器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DC29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作为中间换热器，用海水冷却所有内部循环的淡水/滑油。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7C590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59181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C028A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79919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启动空气系统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03C81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（主阀、分配器、启动阀）提供高压空气，按顺序冲入气缸推动活塞启动发动机。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583D9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672A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435F1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654F2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调速器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86C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根据负荷变化自动调节燃油供给量，稳定发动机转速。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91793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C835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A11B8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84E1F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电子控制系统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C8C72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集成控制燃油喷射、排气阀启闭、安保等，实现智能化管理。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DB7F75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  <w:tr w14:paraId="10A8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FBAB7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161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C1CDC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安全保护系统</w:t>
            </w:r>
          </w:p>
        </w:tc>
        <w:tc>
          <w:tcPr>
            <w:tcW w:w="548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5F14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监测关键参数，超限时自动减速或停机，防止重大事故。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5156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</w:tr>
    </w:tbl>
    <w:p w14:paraId="366989C2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一、固定结构件</w:t>
      </w:r>
    </w:p>
    <w:p w14:paraId="62AC4CD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这部分构成了发动机的支撑框架和密封空间。</w:t>
      </w:r>
    </w:p>
    <w:p w14:paraId="735FDD8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（1）机座/底座：发动机最底部的重型铸铁或焊接钢结构，是整个发动机的基础，固定在船舶的基座上，并承载着曲轴。</w:t>
      </w:r>
    </w:p>
    <w:p w14:paraId="13E0EECE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176905" cy="2118995"/>
            <wp:effectExtent l="0" t="0" r="4445" b="1460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b="17048"/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540255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机座</w:t>
      </w:r>
    </w:p>
    <w:p w14:paraId="40A5D58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（2）A型架/机架：安装在机座上，与气缸体连接，形成发动机的主体框架，内部装有十字头导板。</w:t>
      </w:r>
    </w:p>
    <w:p w14:paraId="47DD2229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36240" cy="2385060"/>
            <wp:effectExtent l="0" t="0" r="16510" b="15240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624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8B63FC8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机架</w:t>
      </w:r>
    </w:p>
    <w:p w14:paraId="77DF106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（3）气缸体：位于发动机上部，由铸铁制成，内部是中空的圆筒，用于形成气缸的工作空间。</w:t>
      </w:r>
    </w:p>
    <w:p w14:paraId="11D46C8B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039235" cy="2315845"/>
            <wp:effectExtent l="0" t="0" r="18415" b="8255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t="20569" b="22100"/>
                    <a:stretch>
                      <a:fillRect/>
                    </a:stretch>
                  </pic:blipFill>
                  <pic:spPr>
                    <a:xfrm>
                      <a:off x="0" y="0"/>
                      <a:ext cx="4039235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117463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气缸体</w:t>
      </w:r>
    </w:p>
    <w:p w14:paraId="0E070A32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（4）气缸盖：安装在气缸体的顶部，用于密封气缸的顶部。它集成了进气阀、排气阀、喷油器、安全阀和示功阀等关键附件，是热负荷和机械负荷最集中的部件之一。</w:t>
      </w:r>
    </w:p>
    <w:p w14:paraId="48D406EE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72385" cy="3230880"/>
            <wp:effectExtent l="0" t="0" r="18415" b="7620"/>
            <wp:docPr id="8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l="4420" t="20930" r="14692" b="2889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9F2B5D5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气缸盖</w:t>
      </w:r>
    </w:p>
    <w:p w14:paraId="784B4AB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（5）扫气箱：位于气缸体下部周围，用于储存和分配经涡轮增压器加压后的新鲜空气。</w:t>
      </w:r>
    </w:p>
    <w:p w14:paraId="0E6F241A">
      <w:pPr>
        <w:spacing w:line="360" w:lineRule="auto"/>
        <w:jc w:val="center"/>
      </w:pPr>
      <w:r>
        <w:drawing>
          <wp:inline distT="0" distB="0" distL="114300" distR="114300">
            <wp:extent cx="3187065" cy="2823210"/>
            <wp:effectExtent l="0" t="0" r="13335" b="1524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7A6E0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6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扫气箱</w:t>
      </w:r>
    </w:p>
    <w:p w14:paraId="3FD134E1">
      <w:pPr>
        <w:spacing w:line="360" w:lineRule="auto"/>
        <w:ind w:firstLine="42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（6）排气总管：收集所有气缸排出的高温废气，并将其输送至涡轮增压器和废气锅炉。</w:t>
      </w:r>
    </w:p>
    <w:p w14:paraId="6A54A5D1">
      <w:pPr>
        <w:bidi w:val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11475" cy="2698750"/>
            <wp:effectExtent l="0" t="0" r="3175" b="6350"/>
            <wp:docPr id="13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rcRect l="2809" t="16439" b="16005"/>
                    <a:stretch>
                      <a:fillRect/>
                    </a:stretch>
                  </pic:blipFill>
                  <pic:spPr>
                    <a:xfrm>
                      <a:off x="0" y="0"/>
                      <a:ext cx="2911475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CF0E9A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7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排气总管</w:t>
      </w:r>
    </w:p>
    <w:p w14:paraId="5C4509B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二、核心运动部件</w:t>
      </w:r>
    </w:p>
    <w:p w14:paraId="410F469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这部分负责将燃烧产生的热能转化为机械运动。</w:t>
      </w:r>
    </w:p>
    <w:p w14:paraId="7250CDA5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（1）活塞：在气缸内做往复运动，承受燃烧产生的高压和高温，并将压力通过活塞杆传递出去。</w:t>
      </w:r>
    </w:p>
    <w:p w14:paraId="611CA13C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351530" cy="2531745"/>
            <wp:effectExtent l="0" t="0" r="1270" b="1905"/>
            <wp:docPr id="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rcRect b="5576"/>
                    <a:stretch>
                      <a:fillRect/>
                    </a:stretch>
                  </pic:blipFill>
                  <pic:spPr>
                    <a:xfrm>
                      <a:off x="0" y="0"/>
                      <a:ext cx="3351530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B37EF0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活塞</w:t>
      </w:r>
    </w:p>
    <w:p w14:paraId="577BB53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（2）活塞杆与十字头：</w:t>
      </w:r>
    </w:p>
    <w:p w14:paraId="7114DCF6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活塞杆：连接活塞和十字头。</w:t>
      </w:r>
    </w:p>
    <w:p w14:paraId="78473FA0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十字头：是二冲程低速机的标志性部件，它将活塞杆的往复运动传递给连杆，并承受侧推力，保证活塞运动的直线性。</w:t>
      </w:r>
    </w:p>
    <w:p w14:paraId="5CF82CF8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65730" cy="2839720"/>
            <wp:effectExtent l="0" t="0" r="1270" b="17780"/>
            <wp:docPr id="10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rcRect l="12250" t="10302" r="13069" b="11229"/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83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01D30A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9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活塞杆</w:t>
      </w:r>
    </w:p>
    <w:p w14:paraId="5871534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（3）连杆：连接十字头（或活塞销，对于中高速机）和曲轴，将活塞的往复运动转换为曲轴的旋转运动。</w:t>
      </w:r>
    </w:p>
    <w:p w14:paraId="4091DA45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1988185" cy="2651760"/>
            <wp:effectExtent l="0" t="0" r="12065" b="15240"/>
            <wp:docPr id="1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30CC91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连杆</w:t>
      </w:r>
    </w:p>
    <w:p w14:paraId="3CB59D9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（4）曲轴：发动机中最重、最精密的部件。它将连杆传递来的力转化为旋转的扭矩，并通过飞轮输出，驱动螺旋桨和附属设备。</w:t>
      </w:r>
    </w:p>
    <w:p w14:paraId="3C0780BF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50540" cy="3050540"/>
            <wp:effectExtent l="0" t="0" r="16510" b="16510"/>
            <wp:docPr id="12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3050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1D5081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曲轴</w:t>
      </w:r>
    </w:p>
    <w:p w14:paraId="2CAE1C2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（5）凸轮轴：由曲轴驱动，通过一系列凸轮精确控制进气阀、排气阀的启闭以及燃油喷射泵的工作时序。</w:t>
      </w:r>
    </w:p>
    <w:p w14:paraId="2F194E24">
      <w:pPr>
        <w:bidi w:val="0"/>
        <w:jc w:val="center"/>
      </w:pPr>
      <w:r>
        <w:drawing>
          <wp:inline distT="0" distB="0" distL="114300" distR="114300">
            <wp:extent cx="2567305" cy="2125345"/>
            <wp:effectExtent l="0" t="0" r="4445" b="825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7203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凸轮轴</w:t>
      </w:r>
    </w:p>
    <w:p w14:paraId="6213B4BE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三、关键辅助系统</w:t>
      </w:r>
    </w:p>
    <w:p w14:paraId="649537E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这些系统为主机的连续稳定运行提供必要的支持。</w:t>
      </w:r>
    </w:p>
    <w:p w14:paraId="545F712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（1）燃油系统：包括燃油驳运泵、分油机、加热器、日用柜、燃油供给泵、高压油泵和喷油器。负责对重油进行净化、加热，并在精确时刻以高压雾化状态喷入气缸。</w:t>
      </w:r>
    </w:p>
    <w:p w14:paraId="4102378B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4511040" cy="3382010"/>
            <wp:effectExtent l="0" t="0" r="3810" b="8890"/>
            <wp:docPr id="18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3382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A37658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燃油系统</w:t>
      </w:r>
    </w:p>
    <w:p w14:paraId="395AA96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（2）滑油系统：</w:t>
      </w:r>
    </w:p>
    <w:p w14:paraId="501C6C80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系统油（曲轴箱油）：润滑和冷却主轴承、曲轴轴承、十字头轴承等，由主滑油泵循环。</w:t>
      </w:r>
    </w:p>
    <w:p w14:paraId="23F5F0C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气缸油：由气缸油注油器定时、定量地喷入气缸壁，在高温下润滑活塞环与缸套，并中和燃烧产生的酸性物质。</w:t>
      </w:r>
    </w:p>
    <w:p w14:paraId="50BEE2C6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71770" cy="2160270"/>
            <wp:effectExtent l="0" t="0" r="5080" b="11430"/>
            <wp:docPr id="19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112F41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滑油系统</w:t>
      </w:r>
    </w:p>
    <w:p w14:paraId="39805D9A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（3）冷却系统：</w:t>
      </w:r>
    </w:p>
    <w:p w14:paraId="755FFDF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缸套水冷却系统：冷却气缸套、气缸盖和喷油器，通常采用高温淡水（85-95°C）闭式循环。</w:t>
      </w:r>
    </w:p>
    <w:p w14:paraId="32DD011F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活塞冷却系统：单独循环的油或水，用于冷却承受极高热负荷的活塞。</w:t>
      </w:r>
    </w:p>
    <w:p w14:paraId="3B06B8A5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中央冷却器/海水系统：最终由海水带走所有内部循环介质的热量。</w:t>
      </w:r>
    </w:p>
    <w:p w14:paraId="17CE030B"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1770" cy="3038475"/>
            <wp:effectExtent l="0" t="0" r="0" b="0"/>
            <wp:docPr id="20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rcRect b="767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02C47D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冷却系统</w:t>
      </w:r>
    </w:p>
    <w:p w14:paraId="5CF6E15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（4）进排气与增压系统：</w:t>
      </w:r>
    </w:p>
    <w:p w14:paraId="2C425B1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涡轮增压器：利用废气能量驱动涡轮，带动同轴的压气机，为气缸提供高压、高密度的新鲜空气，是提高功率和效率的核心。</w:t>
      </w:r>
    </w:p>
    <w:p w14:paraId="717B53C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空气冷却器：冷却增压后的高温空气，增加进气密度。</w:t>
      </w:r>
    </w:p>
    <w:p w14:paraId="66A39D08">
      <w:pPr>
        <w:spacing w:line="36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242310" cy="3509645"/>
            <wp:effectExtent l="0" t="0" r="15240" b="14605"/>
            <wp:docPr id="21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42310" cy="3509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C20B7B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16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进排气与增压系统</w:t>
      </w:r>
    </w:p>
    <w:p w14:paraId="1489E102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（5）启动与换向系统：包括空气瓶、主启动阀、空气分配器和气缸启动阀。利用高压压缩空气（通常30 bar）按发火顺序冲入气缸，推动活塞使发动机启动。通过改变凸轮轴或启动空气时序实现换向。</w:t>
      </w:r>
    </w:p>
    <w:p w14:paraId="3F12709F">
      <w:pPr>
        <w:bidi w:val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41545" cy="2599055"/>
            <wp:effectExtent l="0" t="0" r="0" b="0"/>
            <wp:docPr id="22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rcRect l="4823" t="18683" r="5148" b="21434"/>
                    <a:stretch>
                      <a:fillRect/>
                    </a:stretch>
                  </pic:blipFill>
                  <pic:spPr>
                    <a:xfrm>
                      <a:off x="0" y="0"/>
                      <a:ext cx="474154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D35819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17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启动与换向系统</w:t>
      </w:r>
    </w:p>
    <w:p w14:paraId="5AEF1D9D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0" w:name="_Toc13207"/>
      <w:r>
        <w:rPr>
          <w:rFonts w:hint="eastAsia"/>
          <w:lang w:val="en-US" w:eastAsia="zh-CN"/>
        </w:rPr>
        <w:t>工作原理</w:t>
      </w:r>
      <w:bookmarkEnd w:id="10"/>
    </w:p>
    <w:p w14:paraId="64CB5977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主要工作原理：通过将雾化的燃油喷入高温高压的空气并使其压燃，将燃烧产生的热能转化为活塞的往复机械能，再通过曲柄连杆机构转化为驱动螺旋桨旋转的扭矩。</w:t>
      </w:r>
    </w:p>
    <w:p w14:paraId="3D8D420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7960" cy="2326005"/>
            <wp:effectExtent l="0" t="0" r="8890" b="17145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53868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发动机工作原理</w:t>
      </w:r>
    </w:p>
    <w:p w14:paraId="387227B9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其核心是一个 “进气-压缩-燃烧-膨胀-排气” 的能量转换循环。由于是二冲程，这个循环在活塞的两个冲程（即曲轴旋转一圈）内完成。</w:t>
      </w:r>
    </w:p>
    <w:p w14:paraId="3839FAAA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一、核心工作原理</w:t>
      </w:r>
    </w:p>
    <w:p w14:paraId="44C3E5F7"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591560" cy="2369820"/>
            <wp:effectExtent l="0" t="0" r="8890" b="0"/>
            <wp:docPr id="24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9156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E9E74A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19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发动机核心工作原理</w:t>
      </w:r>
    </w:p>
    <w:p w14:paraId="6A276A8E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化学能（燃油） → 热能（燃烧） → 机械能（活塞运动 → 曲轴旋转）</w:t>
      </w:r>
    </w:p>
    <w:p w14:paraId="77E865FF">
      <w:pPr>
        <w:numPr>
          <w:ilvl w:val="0"/>
          <w:numId w:val="0"/>
        </w:num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二、详细工作循环</w:t>
      </w:r>
    </w:p>
    <w:p w14:paraId="7225C713">
      <w:pPr>
        <w:spacing w:line="360" w:lineRule="auto"/>
      </w:pPr>
      <w:r>
        <w:drawing>
          <wp:inline distT="0" distB="0" distL="114300" distR="114300">
            <wp:extent cx="5567680" cy="4427855"/>
            <wp:effectExtent l="0" t="0" r="1397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442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6D86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图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图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20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发动机详细工原理</w:t>
      </w:r>
    </w:p>
    <w:p w14:paraId="1CD932DA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（1）扫气过程：在二冲程机中，进气和排气是重叠进行的（称为“扫气”）。新鲜空气由涡轮增压器提供压力（“扫气压力”），像扫帚一样冲入气缸，既供应了氧气，又将残余废气“扫”出。</w:t>
      </w:r>
    </w:p>
    <w:p w14:paraId="68AF7236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（2）压缩与点火：活塞上行压缩空气，使其温度和压力升高到燃油可自燃的程度（约500-700°C）。此时喷入的燃油无需火花塞，即可压燃。</w:t>
      </w:r>
    </w:p>
    <w:p w14:paraId="4E26D3C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（3）做功：燃烧瞬间产生高达200巴的压力，推动活塞下行，这是唯一产生动力的冲程。</w:t>
      </w:r>
    </w:p>
    <w:p w14:paraId="6D8CD54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（4）涡轮增压器的关键作用：排出的废气驱动涡轮增压器的涡轮，涡轮带动同轴的压气机，为下一个循环提供高压新鲜空气。这是柴油机高效节能的核心。</w:t>
      </w:r>
    </w:p>
    <w:p w14:paraId="45C809B0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三、不同类型主机的工作原理对比</w:t>
      </w:r>
    </w:p>
    <w:p w14:paraId="76C1A812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工作原理对比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4"/>
        <w:gridCol w:w="859"/>
        <w:gridCol w:w="1400"/>
        <w:gridCol w:w="5128"/>
      </w:tblGrid>
      <w:tr w14:paraId="393C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97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发动机类型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9D5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冲程数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6AA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点火方式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1F9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船舶应用特点</w:t>
            </w:r>
          </w:p>
        </w:tc>
      </w:tr>
      <w:tr w14:paraId="64EB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A30A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低速二冲程柴油机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A22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457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E22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主流选择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，用于大型商船，直接驱动螺旋桨，烧重油。</w:t>
            </w:r>
          </w:p>
        </w:tc>
      </w:tr>
      <w:tr w14:paraId="78A8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6F6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中/高速四冲程柴油机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F20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01F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压燃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E85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用于发电（副机）、滚装船、渡轮等，或作为电力推进系统的发电机原动机。</w:t>
            </w:r>
          </w:p>
        </w:tc>
      </w:tr>
      <w:tr w14:paraId="77EF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0C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燃气轮机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7BB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EB9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持续燃烧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5D2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用于军舰、LNG船（利用蒸发气）、高速渡轮，功率大、启动快，但油耗高。</w:t>
            </w:r>
          </w:p>
        </w:tc>
      </w:tr>
      <w:tr w14:paraId="0FB03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98B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蒸汽轮机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0F9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1FC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外部燃烧（锅炉）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175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主要用于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液化天然气运输船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（利用货舱蒸发气）和早期船舶，现较少用于主推进。</w:t>
            </w:r>
          </w:p>
        </w:tc>
      </w:tr>
      <w:tr w14:paraId="09D7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627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电力推进电机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741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09A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电磁驱动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4DB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“主机”变为电动机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，能量来源是柴油发电机组、燃料电池或电池。用于科考船、邮轮、工程船等，布局灵活，操控性好。</w:t>
            </w:r>
          </w:p>
        </w:tc>
      </w:tr>
    </w:tbl>
    <w:p w14:paraId="6B390B29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1" w:name="_Toc19939"/>
      <w:r>
        <w:rPr>
          <w:rFonts w:hint="eastAsia"/>
          <w:lang w:val="en-US" w:eastAsia="zh-CN"/>
        </w:rPr>
        <w:t>技术指标</w:t>
      </w:r>
      <w:bookmarkEnd w:id="11"/>
    </w:p>
    <w:p w14:paraId="69CBFD7F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一、动力性能指标</w:t>
      </w:r>
    </w:p>
    <w:p w14:paraId="3017D916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（1）额定功率：</w:t>
      </w:r>
    </w:p>
    <w:p w14:paraId="5DB7604F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最大持续输出功率：发动机在约定的环境条件下，能够长期安全、连续运行的最大有效功率，单位通常是 kW 或 马力。</w:t>
      </w:r>
    </w:p>
    <w:p w14:paraId="304B67C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服务功率：船舶在实际运营中常以额定功率的 80%-90% 运行，以留有余地、提高可靠性和降低油耗，这个功率称为服务功率。</w:t>
      </w:r>
    </w:p>
    <w:p w14:paraId="23BE0F7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（2）额定转速：</w:t>
      </w:r>
    </w:p>
    <w:p w14:paraId="60D711C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发动机输出额定功率时对应的曲轴转速，单位 rpm。低速机典型范围 70-120 rpm。转速直接影响螺旋桨的效率和设计。</w:t>
      </w:r>
    </w:p>
    <w:p w14:paraId="7430ED9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（3）平均有效压力：</w:t>
      </w:r>
    </w:p>
    <w:p w14:paraId="7735922C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衡量发动机气缸工作负荷和强化程度的指标。数值越高，说明单位气缸工作容积能发出的功率越大，发动机结构越紧凑、技术越先进。单位是 bar。</w:t>
      </w:r>
    </w:p>
    <w:p w14:paraId="340E58E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（4）缸径与冲程：</w:t>
      </w:r>
    </w:p>
    <w:p w14:paraId="08BAB5F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发动机单缸的基本尺寸，决定了发动机的单缸排量和总体尺寸。低速机通常采用 长冲程或超长冲程 设计，以降低转速、提高推进效率。</w:t>
      </w:r>
    </w:p>
    <w:p w14:paraId="51C4918B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动力性能指标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7053"/>
      </w:tblGrid>
      <w:tr w14:paraId="36DCF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26F10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203ED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参数值</w:t>
            </w:r>
          </w:p>
        </w:tc>
      </w:tr>
      <w:tr w14:paraId="4305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2AF8B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额定功率</w:t>
            </w:r>
          </w:p>
        </w:tc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00A59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1000–20000 kW（商船主流区间）</w:t>
            </w:r>
          </w:p>
        </w:tc>
      </w:tr>
      <w:tr w14:paraId="6EFA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17092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额定转速</w:t>
            </w:r>
          </w:p>
        </w:tc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7A49B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400–1000 r/min（中速机标准范围）</w:t>
            </w:r>
          </w:p>
        </w:tc>
      </w:tr>
      <w:tr w14:paraId="72109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139D7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平均有效压力</w:t>
            </w:r>
          </w:p>
        </w:tc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4946D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1.6–2.2 MPa（四冲程柴油机典型值）</w:t>
            </w:r>
          </w:p>
        </w:tc>
      </w:tr>
      <w:tr w14:paraId="3C052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655FB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缸径与冲程</w:t>
            </w:r>
          </w:p>
        </w:tc>
        <w:tc>
          <w:tcPr>
            <w:tcW w:w="0" w:type="auto"/>
            <w:shd w:val="clear" w:color="auto" w:fill="auto"/>
            <w:tcMar>
              <w:top w:w="158" w:type="dxa"/>
              <w:left w:w="236" w:type="dxa"/>
              <w:bottom w:w="158" w:type="dxa"/>
              <w:right w:w="236" w:type="dxa"/>
            </w:tcMar>
            <w:vAlign w:val="center"/>
          </w:tcPr>
          <w:p w14:paraId="2976A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缸径 200–500 mm，冲程 300–700 mm（常见匹配比例 1:1.2–1:1.8）</w:t>
            </w:r>
          </w:p>
        </w:tc>
      </w:tr>
    </w:tbl>
    <w:p w14:paraId="2000B9C2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二、经济性指标</w:t>
      </w:r>
    </w:p>
    <w:p w14:paraId="623019E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（1）燃油消耗率：</w:t>
      </w:r>
    </w:p>
    <w:p w14:paraId="17D1DCB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最核心的指标。指发动机每发出 1千瓦时 有效功所消耗的燃油量，单位是 g/kWh。</w:t>
      </w:r>
    </w:p>
    <w:p w14:paraId="4C0E3B4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现代低速机的 SFOC 在 165-175 g/kWh 左右。数值越低，经济性越好。</w:t>
      </w:r>
    </w:p>
    <w:p w14:paraId="5DED7E2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通常有 100%负荷、75%负荷、50%负荷 等不同工况下的曲线图。</w:t>
      </w:r>
    </w:p>
    <w:p w14:paraId="6C216448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（2）气缸油消耗率：</w:t>
      </w:r>
    </w:p>
    <w:p w14:paraId="6EF7D1F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指每千瓦时有效功消耗的气缸润滑油的量，单位 g/kWh。先进的电控注油系统可以将其控制在 0.8-1.2 g/kWh 的极低水平。</w:t>
      </w:r>
    </w:p>
    <w:p w14:paraId="03A06F8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（3）热效率：</w:t>
      </w:r>
    </w:p>
    <w:p w14:paraId="488ABBD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发动机输出的有效功与所消耗燃油蕴含的总热量的比值。现代低速柴油机的 最高热效率已突破50%，是人类制造的效率最高的热力机械。</w:t>
      </w:r>
    </w:p>
    <w:p w14:paraId="541F4876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经济性指标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2430"/>
      </w:tblGrid>
      <w:tr w14:paraId="29F5E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D5DF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267A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参数值</w:t>
            </w:r>
          </w:p>
        </w:tc>
      </w:tr>
      <w:tr w14:paraId="4372A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A263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燃油消耗率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E4DD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165 g/(kW・h) 左右</w:t>
            </w:r>
          </w:p>
        </w:tc>
      </w:tr>
      <w:tr w14:paraId="56F4A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2B1F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气缸油消耗率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DCA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0.8–1.2 g/(kW·h)</w:t>
            </w:r>
          </w:p>
        </w:tc>
      </w:tr>
      <w:tr w14:paraId="4D7A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6B92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热效率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E47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52%–55%</w:t>
            </w:r>
          </w:p>
        </w:tc>
      </w:tr>
    </w:tbl>
    <w:p w14:paraId="43160E4F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三、环保与排放指标</w:t>
      </w:r>
    </w:p>
    <w:p w14:paraId="7CB87C7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（1）氮氧化物排放：</w:t>
      </w:r>
    </w:p>
    <w:p w14:paraId="3915FE1C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遵守 IMO Tier II / Tier III 标准。Tier III 要求比 Tier II 降低约80%，通常需通过 废气再循环 或 选择性催化还原 技术实现。</w:t>
      </w:r>
    </w:p>
    <w:p w14:paraId="09939934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（2）硫氧化物排放：</w:t>
      </w:r>
    </w:p>
    <w:p w14:paraId="4D57E98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通过使用 低硫燃油 或安装 废气洗涤系统 来满足全球及排放控制区对燃油硫含量的上限要求。</w:t>
      </w:r>
    </w:p>
    <w:p w14:paraId="692D2EA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（3）二氧化碳排放指数：</w:t>
      </w:r>
    </w:p>
    <w:p w14:paraId="61C97E3B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与燃油消耗率直接相关。低 SFOC 意味着更低的 CO2 排放，是衡量“绿色船舶”的关键。</w:t>
      </w:r>
    </w:p>
    <w:p w14:paraId="0C3AB7CA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环保与排放指标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7689"/>
      </w:tblGrid>
      <w:tr w14:paraId="171F0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0907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3543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参数值</w:t>
            </w:r>
          </w:p>
        </w:tc>
      </w:tr>
      <w:tr w14:paraId="5882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D78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氮氧化物排放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D826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TierⅠ（2000 年起）：转速≥130r/min 时≤17g/(kW・h)；转速＜130r/min 时≤45g/(kW・h)；TierⅡ（2011 年起）：转速≥130r/min 时≤14.4g/(kW・h)（较 TierⅠ 减排 20%）；TierⅢ（排放控制区内 2016 年起）：转速≥130r/min 时≤2.0g/(kW・h)</w:t>
            </w:r>
          </w:p>
        </w:tc>
      </w:tr>
      <w:tr w14:paraId="5AD8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B5A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硫氧化物排放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1697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全球海域（2020 年起）：对应燃油硫含量≤0.50%（质量分数），等效 SOₓ排放约 10 - 15g/(kW・h)；排放控制区（如波罗的海）：燃油硫含量≤0.10%（质量分数），等效 SOₓ排放约 2 - 3g/(kW・h)；加装脱硫装置船舶：排放可降至 0.5g/(kW・h) 以下</w:t>
            </w:r>
          </w:p>
        </w:tc>
      </w:tr>
      <w:tr w14:paraId="5D0A0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F79A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二氧化碳排放指数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B56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以主流 18 万吨散货船为例，其能效设计指数（EEDI）需满足 2025 年后减排 30% 的要求，实际运营中 CO₂排放指数约 60 - 90g/(t・n mile)；集装箱船排放指数更高，约 80 - 120g/(t・n mile)，具体需符合 IMO 的 CII（碳强度指标）年度考核要求</w:t>
            </w:r>
          </w:p>
        </w:tc>
      </w:tr>
    </w:tbl>
    <w:p w14:paraId="57B8C0DC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四、结构与可靠性指标</w:t>
      </w:r>
    </w:p>
    <w:p w14:paraId="63D29130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（1）大修间隔期：</w:t>
      </w:r>
    </w:p>
    <w:p w14:paraId="0984B4AF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发动机主要运动部件（如活塞、缸套、轴承）在需要大修前能够安全运行的时间，通常是 小时。现代主机可达 20,000 - 30,000 小时 以上。</w:t>
      </w:r>
    </w:p>
    <w:p w14:paraId="3ECED94C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（2）功率储备与负荷接受能力：</w:t>
      </w:r>
    </w:p>
    <w:p w14:paraId="34D5177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发动机从低负荷快速增加至高负荷（例如紧急避让时）的能力，以每分钟可增加额定功率的百分比表示。</w:t>
      </w:r>
    </w:p>
    <w:p w14:paraId="53D97E97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（3）重量与尺寸：</w:t>
      </w:r>
    </w:p>
    <w:p w14:paraId="69DF510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单位功率的重量和体积，影响机舱布局和船舶载货能力。</w:t>
      </w:r>
    </w:p>
    <w:p w14:paraId="5260CE3C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（4）TBO：</w:t>
      </w:r>
    </w:p>
    <w:p w14:paraId="74114EBD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发动机主要部件的大修期，反映了其长期运行的可靠性。</w:t>
      </w:r>
    </w:p>
    <w:p w14:paraId="15226F13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6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结构与可靠性指标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7220"/>
      </w:tblGrid>
      <w:tr w14:paraId="15D6D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0694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BA6D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参数值</w:t>
            </w:r>
          </w:p>
        </w:tc>
      </w:tr>
      <w:tr w14:paraId="0FA0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83D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大修间隔期（TBO）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632C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低速二冲程柴油机（MAN ME - C、WinGD X 系列）：40000 - 60000h（约 5 - 7 年）；中速四冲程柴油机（瓦锡兰 25 系列）：32000h；高速四冲程柴油机（mtu 4000 M55R 型）：最低负荷下可达 96000h，拖船应用的 16V 4000 M65L 可达 54000h</w:t>
            </w:r>
          </w:p>
        </w:tc>
      </w:tr>
      <w:tr w14:paraId="22DA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9810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功率储备与负荷接受能力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673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功率储备：主流 MAN B&amp;W MC/MCE 机型配桨功率为标定功率的 90%-95%，苏尔寿系列为 85%-90%，差额为功率储备；负荷接受能力：拖网渔船等需频繁变负荷的船舶，柴油机瞬时功率过载能力达 15%-20%，瞬时功率不超额定功率 1.3 倍且持续时间不超 10 分钟</w:t>
            </w:r>
          </w:p>
        </w:tc>
      </w:tr>
      <w:tr w14:paraId="3DE6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013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重量与尺寸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B4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低速二冲程柴油机（如 MAN B&amp;W 10S90ME - C）：重量通常数千吨，长度超 10m，高度超 5m；中速四冲程柴油机（瓦锡兰 25 系列 9 缸机型）：重量约 10 - 30 吨，长度 3 - 6m；高速四冲程柴油机（上研黑鲸 G128 系列 6 缸机型）：净重 1050 - 1310kg，结构紧凑，长度多在 2 - 3m</w:t>
            </w:r>
          </w:p>
        </w:tc>
      </w:tr>
    </w:tbl>
    <w:p w14:paraId="69293CA4">
      <w:pPr>
        <w:spacing w:line="360" w:lineRule="auto"/>
        <w:ind w:firstLine="420" w:firstLine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五、适配性指标</w:t>
      </w:r>
    </w:p>
    <w:p w14:paraId="4EDB4231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（1）燃料适应性：</w:t>
      </w:r>
    </w:p>
    <w:p w14:paraId="2406D0FE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能够稳定燃烧的燃料范围，如从船用柴油到高粘度重油，或双燃料（柴油/液化天然气）。</w:t>
      </w:r>
    </w:p>
    <w:p w14:paraId="64F61636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（2）倒车与启动性能：</w:t>
      </w:r>
    </w:p>
    <w:p w14:paraId="5910494A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从停车状态到启动成功所需的时间，以及从正车到倒车转换所需的时间和稳定性。</w:t>
      </w:r>
    </w:p>
    <w:p w14:paraId="17F32FE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（3）振动与噪声：</w:t>
      </w:r>
    </w:p>
    <w:p w14:paraId="4ACC8033">
      <w:pPr>
        <w:spacing w:line="360" w:lineRule="auto"/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运行时的振动烈度和噪声水平，影响船员舒适度和船体结构疲劳。</w:t>
      </w:r>
    </w:p>
    <w:p w14:paraId="5FD53BE1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7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适配性指标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7651"/>
      </w:tblGrid>
      <w:tr w14:paraId="1313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476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D232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参数值</w:t>
            </w:r>
          </w:p>
        </w:tc>
      </w:tr>
      <w:tr w14:paraId="225E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76A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燃料适应性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425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可适配轻柴油（MGO）、重质燃料油（HFO，黏度最高可达 700 mm²/s，温度 100℃）、混合燃料（HFO+MGO）、LNG（改装后）；部分机型兼容生物柴油、甲醇等替代燃料</w:t>
            </w:r>
          </w:p>
        </w:tc>
      </w:tr>
      <w:tr w14:paraId="35B6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5EA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倒车与启动性能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437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启动性能：环境温度 - 15℃~45℃可直接启动，低温环境（-25℃）需预热气缸或燃油；倒车性能：从正车满负荷切换至倒车满负荷，响应时间≤12 秒，倒车功率可达正车额定功率的 80%~90%</w:t>
            </w:r>
          </w:p>
        </w:tc>
      </w:tr>
      <w:tr w14:paraId="7AD8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659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振动与噪声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E345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振动：额定工况下，机体振动加速度≤5 mm/s²；噪声：机舱内距机体 1m 处，噪声值为 105~115 dB (A)；经隔声处理后，集控室噪声≤70 dB (A)</w:t>
            </w:r>
          </w:p>
        </w:tc>
      </w:tr>
    </w:tbl>
    <w:p w14:paraId="1BFA5BF8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2" w:name="_Toc9577"/>
      <w:r>
        <w:rPr>
          <w:rFonts w:hint="eastAsia"/>
          <w:lang w:val="en-US" w:eastAsia="zh-CN"/>
        </w:rPr>
        <w:t>接口情况</w:t>
      </w:r>
      <w:bookmarkEnd w:id="12"/>
    </w:p>
    <w:p w14:paraId="2605DE4C">
      <w:pPr>
        <w:spacing w:line="360" w:lineRule="auto"/>
        <w:ind w:firstLine="420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接口说明：</w:t>
      </w:r>
    </w:p>
    <w:p w14:paraId="3A92FB6E">
      <w:pPr>
        <w:spacing w:line="360" w:lineRule="auto"/>
        <w:ind w:firstLine="420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（1）安装方式高度标准化，具体细节（如螺栓规格、扭矩值、法兰标准）必须严格遵循主机制造商的图纸和技术规范。</w:t>
      </w:r>
    </w:p>
    <w:p w14:paraId="29DA579B">
      <w:pPr>
        <w:spacing w:line="360" w:lineRule="auto"/>
        <w:ind w:firstLine="420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（2）对中与密封是所有接口安装的核心要求，尤其是输出法兰和高压/高温流体接口。</w:t>
      </w:r>
    </w:p>
    <w:p w14:paraId="2F9A6AC5">
      <w:pPr>
        <w:spacing w:line="360" w:lineRule="auto"/>
        <w:ind w:firstLine="420" w:firstLineChars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（3）所有外部接口的连接，必须考虑船舶的振动、热膨胀和可能的变形，通常采用柔性接头、膨胀节或特定的管路支撑。</w:t>
      </w:r>
    </w:p>
    <w:p w14:paraId="02D0A644">
      <w:pPr>
        <w:spacing w:line="360" w:lineRule="auto"/>
        <w:ind w:firstLine="420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一、内部接口</w:t>
      </w:r>
    </w:p>
    <w:p w14:paraId="7D74E329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内部接口</w:t>
      </w:r>
    </w:p>
    <w:tbl>
      <w:tblPr>
        <w:tblStyle w:val="1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763"/>
        <w:gridCol w:w="2281"/>
        <w:gridCol w:w="3982"/>
      </w:tblGrid>
      <w:tr w14:paraId="19F8D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9275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7984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设备/接口名称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AF66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安装部位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0890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安装方式与说明</w:t>
            </w:r>
          </w:p>
        </w:tc>
      </w:tr>
      <w:tr w14:paraId="2FA56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A4CD7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989D3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曲轴与主轴承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C40B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机座内部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4AED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精密装配于机座的主轴承座上，通过轴瓦定位，由主轴承盖和螺栓紧固。</w:t>
            </w:r>
          </w:p>
        </w:tc>
      </w:tr>
      <w:tr w14:paraId="2CCE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EC09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39A3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连杆（大端）与曲柄销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BD09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曲轴曲柄臂与连杆之间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E44E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连杆大端轴承盖通过连杆螺栓与连杆体连接，包围曲柄销。</w:t>
            </w:r>
          </w:p>
        </w:tc>
      </w:tr>
      <w:tr w14:paraId="0EAC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41D9A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23FB1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连杆（小端）与十字头销/活塞销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B8106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连杆与十字头（低速机）或活塞（中高速机）之间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5B4A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通过轴承或衬套连接，用螺栓或卡环固定。</w:t>
            </w:r>
          </w:p>
        </w:tc>
      </w:tr>
      <w:tr w14:paraId="3D313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91C3B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5AF5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活塞杆与十字头（仅低速机）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AFBC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活塞杆下端与十字头之间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F987C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通常采用液压工具进行紧固连接，实现活塞与十字头的刚性连接。</w:t>
            </w:r>
          </w:p>
        </w:tc>
      </w:tr>
      <w:tr w14:paraId="2BEFC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D499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CDE8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气缸盖与气缸体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B7A2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气缸体顶部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F53021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通过多根高强度液压拉伸螺栓或双头螺栓，按特定顺序和扭矩拧紧，实现高压密封。</w:t>
            </w:r>
          </w:p>
        </w:tc>
      </w:tr>
      <w:tr w14:paraId="0E54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9E585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B62A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高压油管（泵至喷油器）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F386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高压燃油泵出口与喷油器进口之间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48E33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通过特殊高压套管接头或法兰进行连接，要求极高密封性和抗振性。</w:t>
            </w:r>
          </w:p>
        </w:tc>
      </w:tr>
      <w:tr w14:paraId="60E3A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FC7BA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ED3A6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气缸油注入管线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D75DE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注油器出口至气缸壁各注油点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8C8D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通过小直径钢管或柔性管，用压套式接头连接至气缸体的钻孔通道。</w:t>
            </w:r>
          </w:p>
        </w:tc>
      </w:tr>
      <w:tr w14:paraId="1108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C9668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A8DD7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凸轮轴及其驱动齿轮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5B99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机架内部或端部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62E5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凸轮轴分段制造，通过法兰螺栓连接。驱动齿轮通常热套于曲轴或凸轮轴上，通过键定位。</w:t>
            </w:r>
          </w:p>
        </w:tc>
      </w:tr>
      <w:tr w14:paraId="4724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A524D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8464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涡轮增压器安装法兰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69FD2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排气总管侧上方或端部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38112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通过高强度螺栓和柔性垫片组，将增压器底座固定在专用支架上，排气进口法兰与排气总管焊接或螺栓连接。</w:t>
            </w:r>
          </w:p>
        </w:tc>
      </w:tr>
      <w:tr w14:paraId="1B58C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5402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5468C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传感器（温度、压力、转速等）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27A37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遍布各关键部位（如缸盖、轴承座、管路）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DF17D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通常以螺纹旋入（如热电偶、压力传感器）或以支架固定（如转速探头），信号线接入接线盒。</w:t>
            </w:r>
          </w:p>
        </w:tc>
      </w:tr>
    </w:tbl>
    <w:p w14:paraId="055EEBBF">
      <w:pPr>
        <w:spacing w:line="360" w:lineRule="auto"/>
        <w:ind w:firstLine="420"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二、外部接口</w:t>
      </w:r>
    </w:p>
    <w:p w14:paraId="23CF4785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9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外部接口</w:t>
      </w:r>
    </w:p>
    <w:tbl>
      <w:tblPr>
        <w:tblStyle w:val="1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1"/>
        <w:gridCol w:w="1897"/>
        <w:gridCol w:w="2048"/>
        <w:gridCol w:w="3835"/>
      </w:tblGrid>
      <w:tr w14:paraId="7F830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0DAC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252C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设备/接口名称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E4BE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安装部位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4FFF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安装方式与说明</w:t>
            </w:r>
          </w:p>
        </w:tc>
      </w:tr>
      <w:tr w14:paraId="2816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3B443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6B5B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主发动机输出法兰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F34BC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曲轴飞轮端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E3EC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推力轴/中间轴法兰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通过精密铰制孔螺栓（紧配螺栓）进行刚性连接，对中精度要求极高。</w:t>
            </w:r>
          </w:p>
        </w:tc>
      </w:tr>
      <w:tr w14:paraId="59B75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06BE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77DCE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轴带发电机输入法兰/离合器（如安装）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313D3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曲轴自由端（与飞轮端相对）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65479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通过法兰直接连接或通过高弹性联轴器/离合器连接，驱动发电机转子。</w:t>
            </w:r>
          </w:p>
        </w:tc>
      </w:tr>
      <w:tr w14:paraId="7E705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A0D5A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FA697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主启动空气阀接口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AD06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启动空气总管进入主机分配器之前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52FB1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大口径法兰连接，连接来自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主空气瓶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的启动空气管路。</w:t>
            </w:r>
          </w:p>
        </w:tc>
      </w:tr>
      <w:tr w14:paraId="1868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50A164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3EAB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控制空气接口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C4EE2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主机控制空气总管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6DD8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较小口径管路连接，提供来自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控制空气瓶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的洁净低压空气，用于驱动气动阀门和控制系统。</w:t>
            </w:r>
          </w:p>
        </w:tc>
      </w:tr>
      <w:tr w14:paraId="3D44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AF5F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6BAD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燃油进口/回油接口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DE6C1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燃油供给单元出口/主机燃油循环回路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29AC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法兰连接，连接来自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燃油日用柜/循环柜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的供油和回油管路。</w:t>
            </w:r>
          </w:p>
        </w:tc>
      </w:tr>
      <w:tr w14:paraId="72F7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FDEB4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3B3DC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主滑油进口/出口接口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CB3BF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滑油泵出口/主机滑油回油总管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D6CD9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法兰连接，与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主滑油循环泵、冷却器和滤器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所在的滑油系统管路相连。</w:t>
            </w:r>
          </w:p>
        </w:tc>
      </w:tr>
      <w:tr w14:paraId="61894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DEBB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1E597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缸套冷却水进口/出口接口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DC02A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主机缸套冷却水腔室进出管路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FD929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法兰连接，接入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缸套水冷却泵和中央冷却器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构成的闭式循环系统。</w:t>
            </w:r>
          </w:p>
        </w:tc>
      </w:tr>
      <w:tr w14:paraId="26E6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351CB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43540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活塞冷却液进口/出口接口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0879B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活塞冷却系统专用管路接口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064BB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法兰或专用接头连接，接入独立的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活塞冷却液循环系统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（可能是油或水）。</w:t>
            </w:r>
          </w:p>
        </w:tc>
      </w:tr>
      <w:tr w14:paraId="4FE2F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F5E75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F5D1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中央冷却海水进口/出口接口（间接连接）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53DB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与主机不直接连接，但为主机的中央冷却器服务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B870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法兰连接，将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主海水泵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提供的海水接入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中央冷却器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的壳程，用于冷却管程的淡水和滑油。</w:t>
            </w:r>
          </w:p>
        </w:tc>
      </w:tr>
      <w:tr w14:paraId="00721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D5AF4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ED10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排气总管出口法兰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045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排气总管末端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66F10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大型法兰连接，与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废气锅炉/经济器进口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或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烟囱管路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连接，废气由此进入余热回收系统或直接排放大气。</w:t>
            </w:r>
          </w:p>
        </w:tc>
      </w:tr>
      <w:tr w14:paraId="4405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8BFD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3E95E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扫气箱进气总管法兰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95007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扫气箱进气口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2949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法兰连接，接收来自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增压器后空气冷却器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的新鲜增压空气。</w:t>
            </w:r>
          </w:p>
        </w:tc>
      </w:tr>
      <w:tr w14:paraId="3DE9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8A6F5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EFF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遥控与安全系统电气/信号接口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F8DAB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主机控制箱（或独立接线盒）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3DD4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多芯电缆通过防水接头或接线排连接，与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船舶集控室、驾驶台控制系统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及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安保监测系统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进行数据交换和控制指令传输。</w:t>
            </w:r>
          </w:p>
        </w:tc>
      </w:tr>
      <w:tr w14:paraId="1727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9B85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2B981E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接地与电源电缆接口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29785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主机底座、主要电气设备外壳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8EF9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通过铜制接地母排和电缆，与船舶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主接地网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连接。主电源为控制柜内设备供电，电缆通过填料函引入。</w:t>
            </w:r>
          </w:p>
        </w:tc>
      </w:tr>
      <w:tr w14:paraId="7604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7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FE42A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8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157E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泄放与污油接口</w:t>
            </w:r>
          </w:p>
        </w:tc>
        <w:tc>
          <w:tcPr>
            <w:tcW w:w="204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A150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主机本体各泄放阀、填料函泄放口</w:t>
            </w:r>
          </w:p>
        </w:tc>
        <w:tc>
          <w:tcPr>
            <w:tcW w:w="3835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8940B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通过小口径管路汇集至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舱底或污油舱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，防止油污泄漏到机舱底部。</w:t>
            </w:r>
          </w:p>
        </w:tc>
      </w:tr>
    </w:tbl>
    <w:p w14:paraId="1CA34849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3" w:name="_Toc28102"/>
      <w:r>
        <w:rPr>
          <w:rFonts w:hint="eastAsia"/>
          <w:lang w:val="en-US" w:eastAsia="zh-CN"/>
        </w:rPr>
        <w:t>布置情况</w:t>
      </w:r>
      <w:bookmarkEnd w:id="13"/>
    </w:p>
    <w:p w14:paraId="287F2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kern w:val="2"/>
          <w:sz w:val="24"/>
          <w:szCs w:val="24"/>
          <w:shd w:val="clear" w:fill="FFFFFF"/>
          <w:lang w:val="en-US" w:eastAsia="zh-CN" w:bidi="ar-SA"/>
        </w:rPr>
        <w:t>不同类型舰艇的发动机因动力系统设计、舰体功能需求不同，安装位置存在差异，以下选取主流舰艇及对应主流发动机，整理其具体位置信息如下：</w:t>
      </w:r>
    </w:p>
    <w:p w14:paraId="79434E88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布置情况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2324"/>
        <w:gridCol w:w="5712"/>
      </w:tblGrid>
      <w:tr w14:paraId="7D37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1E6B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881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设备名称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76F4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位置信息</w:t>
            </w:r>
          </w:p>
        </w:tc>
      </w:tr>
      <w:tr w14:paraId="339F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56DB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34F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QC280 燃气轮机（055 型万吨驱逐舰）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2A2E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动力系统分为前后两个单元，前部动力单元位于主桅杆后部，进气口在前、排气口居后且呈同一水平面；后部动力单元进气口布置低于排气口，整体均处于舰体舯部附近的动力舱区域。</w:t>
            </w:r>
          </w:p>
        </w:tc>
      </w:tr>
      <w:tr w14:paraId="6904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CB4A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0D43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MT30 燃气轮机（“朱姆沃尔特” 级驱逐舰）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93C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安装在主甲板以下 12 米的发动机舱内，该舱室通道狭窄，发动机的取出和安装需通过特定通道和吊装、导轨系统完成。</w:t>
            </w:r>
          </w:p>
        </w:tc>
      </w:tr>
      <w:tr w14:paraId="39AE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1DAC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6271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燃气轮机（076 型两栖攻击舰）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E0D1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采用 “2 燃 6 柴” 动力组合，其中 2 台大功率燃气轮机安装在舰岛下方较高的位置，摆脱传统机械传动的轴线限制，通过电缆输送电力至推进电机。</w:t>
            </w:r>
          </w:p>
        </w:tc>
      </w:tr>
      <w:tr w14:paraId="6E16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D51F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F0AD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辅助燃气轮机（福建舰航母）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0FB2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辅助动力采用的燃气轮机安装在右舷外飘结构中，该位置可缩短进排气管道，避免燃气轮机功率下降，且其烟道与舰岛相连，便于废气排出。</w:t>
            </w:r>
          </w:p>
        </w:tc>
      </w:tr>
      <w:tr w14:paraId="014A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0F4E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D7D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MT30 燃气轮机（伊丽莎白女王号航母）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543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两台 MT30 燃气轮机装在右舷外飘结构中，且处于水线以上 20 米的 4 甲板，与机库同甲板，该位置既优化进排气路，也便于整体吊出维修。</w:t>
            </w:r>
          </w:p>
        </w:tc>
      </w:tr>
      <w:tr w14:paraId="5455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9EAB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9B87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GELM - 2500 燃气轮机（“震慑” 级护卫舰）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A556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所有轮机动力系统集中在舰尾船段，该燃气轮机直接驱动舰尾中央的喷水推进装置，其机舱与柴油机舱相互分隔，柴油机舱位于其斜下方。</w:t>
            </w:r>
          </w:p>
        </w:tc>
      </w:tr>
      <w:tr w14:paraId="30D0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609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B654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高速舰用柴油机（054B 型护卫舰）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C85C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作为全柴动力系统的核心设备，结合舰艇烟囱布局及传统柴电动力舱设计特点，柴油机集中布置在舰体中后部的动力舱内，位置适配螺旋桨推进的传动需求。</w:t>
            </w:r>
          </w:p>
        </w:tc>
      </w:tr>
      <w:tr w14:paraId="12D6A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ED9E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34D9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往复式蒸汽机（“德克萨斯” 号战列舰）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4E11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两台发动机均安装在舰体底部的机舱内，机舱共三层，发动机所处空间距离船的内底部仅约 0.3 米，周围分布着冷凝器、阀箱等配套设备及操作通道。</w:t>
            </w:r>
          </w:p>
        </w:tc>
      </w:tr>
      <w:tr w14:paraId="251D9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CACC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2CA0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MTU 16V 1163 TB93 柴油机（“震慑” 级护卫舰）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59A8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位于舰尾船段的动力舱内，处于 GELM - 2500 燃气轮机舱的斜下方，通过齿轮箱驱动舰尾两侧的五叶螺旋桨，与燃气轮机舱相互独立分隔。</w:t>
            </w:r>
          </w:p>
        </w:tc>
      </w:tr>
      <w:tr w14:paraId="6A48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7B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5FFE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国产抗干扰柴油发电机组（076 型两栖攻击舰）</w:t>
            </w:r>
          </w:p>
        </w:tc>
        <w:tc>
          <w:tcPr>
            <w:tcW w:w="0" w:type="auto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020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共 6 台，选用国产 16PC2 - 6B 改进型，整齐排列在专门的舱室中，与燃气轮机配合构成全舰动力系统，为舰艇提供稳定电力支持。</w:t>
            </w:r>
          </w:p>
        </w:tc>
      </w:tr>
    </w:tbl>
    <w:p w14:paraId="0305AC77"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bookmarkStart w:id="14" w:name="_Toc8529"/>
      <w:r>
        <w:rPr>
          <w:rFonts w:hint="eastAsia"/>
          <w:lang w:val="en-US" w:eastAsia="zh-CN"/>
        </w:rPr>
        <w:t>操作使用</w:t>
      </w:r>
      <w:bookmarkEnd w:id="14"/>
    </w:p>
    <w:p w14:paraId="600DB86B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5" w:name="_Toc13435"/>
      <w:r>
        <w:rPr>
          <w:rFonts w:hint="eastAsia"/>
          <w:lang w:val="en-US" w:eastAsia="zh-CN"/>
        </w:rPr>
        <w:t>操作使用项目索引表</w:t>
      </w:r>
      <w:bookmarkEnd w:id="15"/>
    </w:p>
    <w:p w14:paraId="2E36852A">
      <w:pPr>
        <w:pStyle w:val="11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360" w:lineRule="auto"/>
        <w:ind w:left="0" w:right="0" w:firstLine="420" w:firstLineChars="0"/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本索引表按操作阶段和关键系统进行分类，列出了核心操作项目。操作使用项目索引表包括正常操作使用项目、应急操作使用项目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4CB53BEC">
      <w:pPr>
        <w:pStyle w:val="5"/>
        <w:spacing w:line="360" w:lineRule="auto"/>
        <w:jc w:val="center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操作使用索引表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5"/>
        <w:gridCol w:w="4650"/>
        <w:gridCol w:w="662"/>
      </w:tblGrid>
      <w:tr w14:paraId="7727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4A56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操作项目编号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71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使用操作项目名称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245F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页码</w:t>
            </w:r>
          </w:p>
        </w:tc>
      </w:tr>
      <w:tr w14:paraId="7906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767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OT001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48D1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使用前检查和准备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928F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38</w:t>
            </w:r>
          </w:p>
        </w:tc>
      </w:tr>
      <w:tr w14:paraId="01E9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EC8C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OT002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C301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执行发动机冷态手动启动操作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C70D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39</w:t>
            </w:r>
          </w:p>
        </w:tc>
      </w:tr>
      <w:tr w14:paraId="4592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38F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OT003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0D5A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执行发动机热态自动启动操作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B85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41</w:t>
            </w:r>
          </w:p>
        </w:tc>
      </w:tr>
      <w:tr w14:paraId="5C8E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0E27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OT004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75A8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调节发动机怠速转速控制操作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D42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43</w:t>
            </w:r>
          </w:p>
        </w:tc>
      </w:tr>
      <w:tr w14:paraId="19A6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C18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OT005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03234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调节发动机负荷输出控制操作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9487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</w:tr>
      <w:tr w14:paraId="0F43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C2C6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OT006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7C1BF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监控发动机运行参数记录操作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67D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46</w:t>
            </w:r>
          </w:p>
        </w:tc>
      </w:tr>
      <w:tr w14:paraId="5661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72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OT007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EFF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分析发动机运行状态趋势操作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54AB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48</w:t>
            </w:r>
          </w:p>
        </w:tc>
      </w:tr>
      <w:tr w14:paraId="0ED9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779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OT008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0F2D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执行发动机正常停机流程操作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7E6D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</w:tr>
      <w:tr w14:paraId="4C22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324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OT009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10E97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执行发动机待机模式切换操作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CCF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52</w:t>
            </w:r>
          </w:p>
        </w:tc>
      </w:tr>
      <w:tr w14:paraId="6EEE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D773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OT010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6AE8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整理发动机操作全流程记录操作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DFA3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54</w:t>
            </w:r>
          </w:p>
        </w:tc>
      </w:tr>
      <w:tr w14:paraId="0EFF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F547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OT011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44F5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执行发动机紧急停机操作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004E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56</w:t>
            </w:r>
          </w:p>
        </w:tc>
      </w:tr>
      <w:tr w14:paraId="7773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B60B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OT012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74619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执行发动机超温故障应急处理操作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A5A7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58</w:t>
            </w:r>
          </w:p>
        </w:tc>
      </w:tr>
      <w:tr w14:paraId="2B267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60F5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OT013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01CB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执行发动机油压低应急处置操作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BABE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</w:tr>
      <w:tr w14:paraId="3BDE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F684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OT014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A9E0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执行发动机异常振动应急处理操作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6BD7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63</w:t>
            </w:r>
          </w:p>
        </w:tc>
      </w:tr>
      <w:tr w14:paraId="1862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55A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OT015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701EB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执行发动机燃油泄漏应急封堵操作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D29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</w:tr>
      <w:tr w14:paraId="7498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84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OT016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20618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执行发动机电气故障应急切换操作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5D1A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66</w:t>
            </w:r>
          </w:p>
        </w:tc>
      </w:tr>
      <w:tr w14:paraId="40BB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5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D37C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OT017</w:t>
            </w:r>
          </w:p>
        </w:tc>
        <w:tc>
          <w:tcPr>
            <w:tcW w:w="46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FB01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分析发动机应急故障原因操作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0904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68</w:t>
            </w:r>
          </w:p>
        </w:tc>
      </w:tr>
    </w:tbl>
    <w:p w14:paraId="31A7169E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16" w:name="_Toc13961"/>
      <w:r>
        <w:rPr>
          <w:rFonts w:hint="eastAsia"/>
          <w:lang w:val="en-US" w:eastAsia="zh-CN"/>
        </w:rPr>
        <w:t>操作程序</w:t>
      </w:r>
      <w:bookmarkEnd w:id="16"/>
    </w:p>
    <w:p w14:paraId="09CE8DFF">
      <w:pPr>
        <w:numPr>
          <w:ilvl w:val="0"/>
          <w:numId w:val="0"/>
        </w:numPr>
        <w:spacing w:line="360" w:lineRule="auto"/>
        <w:ind w:leftChars="0" w:firstLine="42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操作程序是针对表4.1操作使用索引表中操作使用项目进行详细描述，包括操作的安全注意事项、保障设施、保障设备（工具）、人力人员需求、操作步骤等内容。</w:t>
      </w:r>
    </w:p>
    <w:p w14:paraId="1FB947FA">
      <w:pPr>
        <w:pStyle w:val="4"/>
        <w:bidi w:val="0"/>
        <w:rPr>
          <w:rFonts w:hint="eastAsia"/>
          <w:lang w:val="en-US" w:eastAsia="zh-CN"/>
        </w:rPr>
      </w:pPr>
      <w:bookmarkStart w:id="17" w:name="_Toc28399"/>
      <w:r>
        <w:rPr>
          <w:rFonts w:hint="eastAsia"/>
          <w:lang w:val="en-US" w:eastAsia="zh-CN"/>
        </w:rPr>
        <w:t>4.2.1正常操作程序</w:t>
      </w:r>
      <w:bookmarkEnd w:id="17"/>
    </w:p>
    <w:p w14:paraId="3B283B82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使用前检查和准备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5FBE4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5D7B703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3902FA1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25D49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4104A4B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OT001</w:t>
            </w:r>
          </w:p>
        </w:tc>
        <w:tc>
          <w:tcPr>
            <w:tcW w:w="7088" w:type="dxa"/>
            <w:gridSpan w:val="2"/>
            <w:vAlign w:val="center"/>
          </w:tcPr>
          <w:p w14:paraId="4DD91840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使用前检查和准备</w:t>
            </w:r>
          </w:p>
        </w:tc>
      </w:tr>
      <w:tr w14:paraId="728EC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3EDAF98F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5ABA2A84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55748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6CD5915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11B91C6F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打开油箱油位计（或油尺）时，动作要缓慢，避免燃油因压力溅出；使用油尺测量时，需将油尺完全插入、垂直取出，确保读数精准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。</w:t>
            </w:r>
          </w:p>
        </w:tc>
      </w:tr>
      <w:tr w14:paraId="18E0C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8472" w:type="dxa"/>
            <w:gridSpan w:val="3"/>
          </w:tcPr>
          <w:p w14:paraId="7865B84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65418B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41480FE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1B6C79E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6DC0D5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3C111DE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2AFF76F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0FFEBA8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6644C55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2957296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center"/>
                </w:tcPr>
                <w:p w14:paraId="44C3EB6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防爆照明设备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7D4349A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Ex d ⅡC T6，续航≥8h</w:t>
                  </w:r>
                </w:p>
              </w:tc>
              <w:tc>
                <w:tcPr>
                  <w:tcW w:w="800" w:type="dxa"/>
                  <w:vAlign w:val="top"/>
                </w:tcPr>
                <w:p w14:paraId="3247D1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3436" w:type="dxa"/>
                  <w:vAlign w:val="top"/>
                </w:tcPr>
                <w:p w14:paraId="59EA7A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适配舱室、昏暗区域检查，避免火花引燃油气</w:t>
                  </w:r>
                </w:p>
              </w:tc>
            </w:tr>
            <w:tr w14:paraId="736549C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7E3FD4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35F2F7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多功能工具组套</w:t>
                  </w:r>
                </w:p>
              </w:tc>
              <w:tc>
                <w:tcPr>
                  <w:tcW w:w="2067" w:type="dxa"/>
                  <w:vAlign w:val="top"/>
                </w:tcPr>
                <w:p w14:paraId="54A69DB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含扳手、螺丝刀、钳子等常用工具</w:t>
                  </w:r>
                </w:p>
              </w:tc>
              <w:tc>
                <w:tcPr>
                  <w:tcW w:w="800" w:type="dxa"/>
                  <w:vAlign w:val="top"/>
                </w:tcPr>
                <w:p w14:paraId="618B7F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2F4437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用于拆卸检查盖板、紧固松动接头等基础操作</w:t>
                  </w:r>
                </w:p>
              </w:tc>
            </w:tr>
            <w:tr w14:paraId="46ECAF6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E9D4DA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3A82B8D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便携式油液检测仪</w:t>
                  </w:r>
                </w:p>
              </w:tc>
              <w:tc>
                <w:tcPr>
                  <w:tcW w:w="2067" w:type="dxa"/>
                  <w:vAlign w:val="top"/>
                </w:tcPr>
                <w:p w14:paraId="09C7F28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可检测机油粘度、水分含量</w:t>
                  </w:r>
                </w:p>
              </w:tc>
              <w:tc>
                <w:tcPr>
                  <w:tcW w:w="800" w:type="dxa"/>
                  <w:vAlign w:val="top"/>
                </w:tcPr>
                <w:p w14:paraId="0FD65D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728D79B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快速判断机油是否满足使用要求，避免润滑失效</w:t>
                  </w:r>
                </w:p>
              </w:tc>
            </w:tr>
            <w:tr w14:paraId="38E4459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35A7DED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4EB864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吸油/吸水毡</w:t>
                  </w:r>
                </w:p>
              </w:tc>
              <w:tc>
                <w:tcPr>
                  <w:tcW w:w="2067" w:type="dxa"/>
                  <w:vAlign w:val="top"/>
                </w:tcPr>
                <w:p w14:paraId="70E731D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500mm×500mm，耐油耐水</w:t>
                  </w:r>
                </w:p>
              </w:tc>
              <w:tc>
                <w:tcPr>
                  <w:tcW w:w="800" w:type="dxa"/>
                  <w:vAlign w:val="top"/>
                </w:tcPr>
                <w:p w14:paraId="5D1E429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若干</w:t>
                  </w:r>
                </w:p>
              </w:tc>
              <w:tc>
                <w:tcPr>
                  <w:tcW w:w="3436" w:type="dxa"/>
                  <w:vAlign w:val="top"/>
                </w:tcPr>
                <w:p w14:paraId="17B141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清理检查中发现的油液、水渍渗漏，保持作业环境整洁</w:t>
                  </w:r>
                </w:p>
              </w:tc>
            </w:tr>
            <w:tr w14:paraId="587FFE0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1DD832B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24BA580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干粉灭火器</w:t>
                  </w:r>
                </w:p>
              </w:tc>
              <w:tc>
                <w:tcPr>
                  <w:tcW w:w="2067" w:type="dxa"/>
                  <w:vAlign w:val="top"/>
                </w:tcPr>
                <w:p w14:paraId="1696C0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MFZ/ABC4</w:t>
                  </w:r>
                </w:p>
              </w:tc>
              <w:tc>
                <w:tcPr>
                  <w:tcW w:w="800" w:type="dxa"/>
                  <w:vAlign w:val="top"/>
                </w:tcPr>
                <w:p w14:paraId="1525A55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1具</w:t>
                  </w:r>
                </w:p>
              </w:tc>
              <w:tc>
                <w:tcPr>
                  <w:tcW w:w="3436" w:type="dxa"/>
                  <w:vAlign w:val="top"/>
                </w:tcPr>
                <w:p w14:paraId="7D8BBE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放置在作业点10米内，应对油液泄漏引发的突发火情</w:t>
                  </w:r>
                </w:p>
              </w:tc>
            </w:tr>
          </w:tbl>
          <w:p w14:paraId="4E2F00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0207167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3E89A73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7E09E9A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9D4EC8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0BEE417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7B9E39C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7CA345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0B6A08F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4637F9A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09D557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ED2616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1DD13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精通发动机结构原理，可独立完成燃油、润滑、电气等系统使用前全项检查，判断设备是否满足启动条件</w:t>
                  </w:r>
                </w:p>
              </w:tc>
            </w:tr>
            <w:tr w14:paraId="4501548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A58292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43C2780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CE6ED6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31CDF8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5061658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2338354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BC76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135B7952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56DD5A6B">
            <w:pPr>
              <w:pStyle w:val="16"/>
              <w:widowControl/>
              <w:numPr>
                <w:ilvl w:val="0"/>
                <w:numId w:val="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作业人员穿戴防护装备，先确认停机断电、消防设施就位。</w:t>
            </w:r>
          </w:p>
          <w:p w14:paraId="217159DE">
            <w:pPr>
              <w:pStyle w:val="16"/>
              <w:widowControl/>
              <w:numPr>
                <w:ilvl w:val="0"/>
                <w:numId w:val="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依次检查机油、燃油油位是否达标，排查两系统管路、滤清器有无渗漏或破损。</w:t>
            </w:r>
          </w:p>
          <w:p w14:paraId="71E1E667">
            <w:pPr>
              <w:pStyle w:val="16"/>
              <w:widowControl/>
              <w:numPr>
                <w:ilvl w:val="0"/>
                <w:numId w:val="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检查电气系统接线、仪表状态，清理发动机周边杂物。</w:t>
            </w:r>
          </w:p>
          <w:p w14:paraId="00A18AA8">
            <w:pPr>
              <w:pStyle w:val="16"/>
              <w:widowControl/>
              <w:numPr>
                <w:ilvl w:val="0"/>
                <w:numId w:val="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确认各部件正常后，复位防护装置，移除 “禁止启动” 标识，做好检查记录，完成启动前准备。</w:t>
            </w:r>
          </w:p>
          <w:p w14:paraId="488ED782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675890" cy="3826510"/>
                  <wp:effectExtent l="0" t="0" r="10160" b="2540"/>
                  <wp:docPr id="2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90" cy="382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64C30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6999B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33B1D3B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35BCF05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25CADAC6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执行发动机冷态手动启动操作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3040B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6B553AA4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524C656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48ED7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1BAE57EF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7088" w:type="dxa"/>
            <w:gridSpan w:val="2"/>
            <w:vAlign w:val="center"/>
          </w:tcPr>
          <w:p w14:paraId="0CE6943E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执行发动机冷态手动启动操作</w:t>
            </w:r>
          </w:p>
        </w:tc>
      </w:tr>
      <w:tr w14:paraId="6978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78FC510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5724D288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4805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79224D5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5C04C7AC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若启动时发生燃油泄漏，立即切断电源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。</w:t>
            </w:r>
          </w:p>
        </w:tc>
      </w:tr>
      <w:tr w14:paraId="2E12B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8472" w:type="dxa"/>
            <w:gridSpan w:val="3"/>
          </w:tcPr>
          <w:p w14:paraId="1589A27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7DDAE47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79D7642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DA184D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6D7F595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C1A0B9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7FA1143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410DC7C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0B12FE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42E659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53FDB23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防爆照明手电</w:t>
                  </w:r>
                </w:p>
              </w:tc>
              <w:tc>
                <w:tcPr>
                  <w:tcW w:w="2067" w:type="dxa"/>
                  <w:vAlign w:val="top"/>
                </w:tcPr>
                <w:p w14:paraId="3B3C6E8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Ex d ⅡC T6，续航≥8h</w:t>
                  </w:r>
                </w:p>
              </w:tc>
              <w:tc>
                <w:tcPr>
                  <w:tcW w:w="800" w:type="dxa"/>
                  <w:vAlign w:val="top"/>
                </w:tcPr>
                <w:p w14:paraId="4BEAFE7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3436" w:type="dxa"/>
                  <w:vAlign w:val="top"/>
                </w:tcPr>
                <w:p w14:paraId="6084007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适配昏暗环境检查启动部件，避免火花引燃油气</w:t>
                  </w:r>
                </w:p>
              </w:tc>
            </w:tr>
            <w:tr w14:paraId="7B5E458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72F30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463BB91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干粉灭火器</w:t>
                  </w:r>
                </w:p>
              </w:tc>
              <w:tc>
                <w:tcPr>
                  <w:tcW w:w="2067" w:type="dxa"/>
                  <w:vAlign w:val="top"/>
                </w:tcPr>
                <w:p w14:paraId="1A5CF5C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MFZ/ABC4</w:t>
                  </w:r>
                </w:p>
              </w:tc>
              <w:tc>
                <w:tcPr>
                  <w:tcW w:w="800" w:type="dxa"/>
                  <w:vAlign w:val="top"/>
                </w:tcPr>
                <w:p w14:paraId="08C6724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1具</w:t>
                  </w:r>
                </w:p>
              </w:tc>
              <w:tc>
                <w:tcPr>
                  <w:tcW w:w="3436" w:type="dxa"/>
                  <w:vAlign w:val="top"/>
                </w:tcPr>
                <w:p w14:paraId="713D81C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放置在启动作业点10米内，应对燃油泄漏等突发火情</w:t>
                  </w:r>
                </w:p>
              </w:tc>
            </w:tr>
            <w:tr w14:paraId="2897F31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BB47A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5F1B3CD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手动油泵</w:t>
                  </w:r>
                </w:p>
              </w:tc>
              <w:tc>
                <w:tcPr>
                  <w:tcW w:w="2067" w:type="dxa"/>
                  <w:vAlign w:val="top"/>
                </w:tcPr>
                <w:p w14:paraId="3BBC51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适配发动机燃油系统接口</w:t>
                  </w:r>
                </w:p>
              </w:tc>
              <w:tc>
                <w:tcPr>
                  <w:tcW w:w="800" w:type="dxa"/>
                  <w:vAlign w:val="top"/>
                </w:tcPr>
                <w:p w14:paraId="2EDFEA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7D15D9D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启动前排空燃油管路空气，防止气阻导致启动失败</w:t>
                  </w:r>
                </w:p>
              </w:tc>
            </w:tr>
            <w:tr w14:paraId="6616C52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E5CD68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02300B4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耐油吸油毡</w:t>
                  </w:r>
                </w:p>
              </w:tc>
              <w:tc>
                <w:tcPr>
                  <w:tcW w:w="2067" w:type="dxa"/>
                  <w:vAlign w:val="top"/>
                </w:tcPr>
                <w:p w14:paraId="6AAB614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500mm×500mm</w:t>
                  </w:r>
                </w:p>
              </w:tc>
              <w:tc>
                <w:tcPr>
                  <w:tcW w:w="800" w:type="dxa"/>
                  <w:vAlign w:val="top"/>
                </w:tcPr>
                <w:p w14:paraId="4A9799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若干</w:t>
                  </w:r>
                </w:p>
              </w:tc>
              <w:tc>
                <w:tcPr>
                  <w:tcW w:w="3436" w:type="dxa"/>
                  <w:vAlign w:val="top"/>
                </w:tcPr>
                <w:p w14:paraId="5CEA44E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吸附启动过程中可能溅洒的燃油、机油，保持现场整洁</w:t>
                  </w:r>
                </w:p>
              </w:tc>
            </w:tr>
            <w:tr w14:paraId="1DC033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B8854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0ADAEA8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应急断电开关</w:t>
                  </w:r>
                </w:p>
              </w:tc>
              <w:tc>
                <w:tcPr>
                  <w:tcW w:w="2067" w:type="dxa"/>
                  <w:vAlign w:val="top"/>
                </w:tcPr>
                <w:p w14:paraId="123FF2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额定电流≥发动机启动电流</w:t>
                  </w:r>
                </w:p>
              </w:tc>
              <w:tc>
                <w:tcPr>
                  <w:tcW w:w="800" w:type="dxa"/>
                  <w:vAlign w:val="top"/>
                </w:tcPr>
                <w:p w14:paraId="04FB128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2887C1D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安装在操作手可及处，异常时快速切断启动电源</w:t>
                  </w:r>
                </w:p>
              </w:tc>
            </w:tr>
          </w:tbl>
          <w:p w14:paraId="74D27C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21C218C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12293D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11F14E5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FFE8B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24E7DAF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7AAF15C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7CBFBC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DDE3B4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4BEC421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72B214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3EB9650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326FA1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精通冷态手动启动流程，可独立完成启动前检查、手动操作及启动后监护，能识别启动过程中的异常状态</w:t>
                  </w:r>
                </w:p>
              </w:tc>
            </w:tr>
            <w:tr w14:paraId="7CE2261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5E755C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3AA4220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6C8399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3C5B5B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621DCD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5590149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14D9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7117F4A9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9D63F06">
            <w:pPr>
              <w:pStyle w:val="16"/>
              <w:widowControl/>
              <w:numPr>
                <w:ilvl w:val="0"/>
                <w:numId w:val="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将调速器调至怠速档位，确保离合装置处于分离状态。</w:t>
            </w:r>
          </w:p>
          <w:p w14:paraId="0370BBBF">
            <w:pPr>
              <w:pStyle w:val="16"/>
              <w:widowControl/>
              <w:numPr>
                <w:ilvl w:val="0"/>
                <w:numId w:val="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用手动油泵排空燃油管路空气，按下手动启动按钮（单次时长不超 10 秒）启动发动机；若启动失败，间隔 30 秒后再重试。</w:t>
            </w:r>
          </w:p>
          <w:p w14:paraId="00C2ECDF">
            <w:pPr>
              <w:pStyle w:val="16"/>
              <w:widowControl/>
              <w:numPr>
                <w:ilvl w:val="0"/>
                <w:numId w:val="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启动成功后保持怠速运转 3-5 分钟，密切监护机油压力、冷却液温度等仪表读数，监听运转声音，检查有无油液泄漏，无异常即完成操作。</w:t>
            </w:r>
          </w:p>
          <w:p w14:paraId="448DB294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759710" cy="2882900"/>
                  <wp:effectExtent l="0" t="0" r="2540" b="12700"/>
                  <wp:docPr id="2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1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8B60F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212A7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5E19E65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78779BC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33E9CFC2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执行发动机热态自动启动操作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6661A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048613B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542C5743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030D0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690FF56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7088" w:type="dxa"/>
            <w:gridSpan w:val="2"/>
            <w:vAlign w:val="center"/>
          </w:tcPr>
          <w:p w14:paraId="4E4B678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执行发动机热态自动启动操作</w:t>
            </w:r>
          </w:p>
        </w:tc>
      </w:tr>
      <w:tr w14:paraId="3824A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76575C08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6D40FF00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4BABD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52CBDAF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42DDF8DE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若启动时发生燃油泄漏，立即切断电源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。</w:t>
            </w:r>
          </w:p>
        </w:tc>
      </w:tr>
      <w:tr w14:paraId="09768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8472" w:type="dxa"/>
            <w:gridSpan w:val="3"/>
          </w:tcPr>
          <w:p w14:paraId="0E0D12C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ACBE25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595CB52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1B910C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72D74DD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25F80BC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5380E77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05CF10F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1231EE0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791455F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center"/>
                </w:tcPr>
                <w:p w14:paraId="2C58775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center"/>
                </w:tcPr>
                <w:p w14:paraId="2D0C04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瞬时动作型，IP65 防护</w:t>
                  </w:r>
                </w:p>
              </w:tc>
              <w:tc>
                <w:tcPr>
                  <w:tcW w:w="800" w:type="dxa"/>
                  <w:vAlign w:val="center"/>
                </w:tcPr>
                <w:p w14:paraId="1B7E58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个</w:t>
                  </w:r>
                </w:p>
              </w:tc>
              <w:tc>
                <w:tcPr>
                  <w:tcW w:w="3436" w:type="dxa"/>
                  <w:vAlign w:val="center"/>
                </w:tcPr>
                <w:p w14:paraId="7E2F7F9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安装于操作区易触及处，启动异常（如超温、泄漏）时可快速切断系统</w:t>
                  </w:r>
                </w:p>
              </w:tc>
            </w:tr>
            <w:tr w14:paraId="1286E8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5D9D83D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center"/>
                </w:tcPr>
                <w:p w14:paraId="5E8CE76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耐高温吸油毡</w:t>
                  </w:r>
                </w:p>
              </w:tc>
              <w:tc>
                <w:tcPr>
                  <w:tcW w:w="2067" w:type="dxa"/>
                  <w:vAlign w:val="center"/>
                </w:tcPr>
                <w:p w14:paraId="3A6358C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500mm×500mm，耐温≥120℃</w:t>
                  </w:r>
                </w:p>
              </w:tc>
              <w:tc>
                <w:tcPr>
                  <w:tcW w:w="800" w:type="dxa"/>
                  <w:vAlign w:val="center"/>
                </w:tcPr>
                <w:p w14:paraId="0DAAE44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若干</w:t>
                  </w:r>
                </w:p>
              </w:tc>
              <w:tc>
                <w:tcPr>
                  <w:tcW w:w="3436" w:type="dxa"/>
                  <w:vAlign w:val="center"/>
                </w:tcPr>
                <w:p w14:paraId="008394F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吸附热态启动中可能溅洒的高温机油 / 燃油，避免烫伤或引发火情</w:t>
                  </w:r>
                </w:p>
              </w:tc>
            </w:tr>
            <w:tr w14:paraId="36A62C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7A1D4BD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center"/>
                </w:tcPr>
                <w:p w14:paraId="5C7A662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干粉灭火器</w:t>
                  </w:r>
                </w:p>
              </w:tc>
              <w:tc>
                <w:tcPr>
                  <w:tcW w:w="2067" w:type="dxa"/>
                  <w:vAlign w:val="center"/>
                </w:tcPr>
                <w:p w14:paraId="5FEE3D7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MFZ/ABC4</w:t>
                  </w:r>
                </w:p>
              </w:tc>
              <w:tc>
                <w:tcPr>
                  <w:tcW w:w="800" w:type="dxa"/>
                  <w:vAlign w:val="center"/>
                </w:tcPr>
                <w:p w14:paraId="5E146B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具</w:t>
                  </w:r>
                </w:p>
              </w:tc>
              <w:tc>
                <w:tcPr>
                  <w:tcW w:w="3436" w:type="dxa"/>
                  <w:vAlign w:val="center"/>
                </w:tcPr>
                <w:p w14:paraId="0E108CB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放置在启动区域 10 米内，适配油类火灾，应对突发燃油泄漏火情</w:t>
                  </w:r>
                </w:p>
              </w:tc>
            </w:tr>
            <w:tr w14:paraId="045CDFE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1749D45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center"/>
                </w:tcPr>
                <w:p w14:paraId="66C2BEE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红外测温仪</w:t>
                  </w:r>
                </w:p>
              </w:tc>
              <w:tc>
                <w:tcPr>
                  <w:tcW w:w="2067" w:type="dxa"/>
                  <w:vAlign w:val="center"/>
                </w:tcPr>
                <w:p w14:paraId="25C982E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量程 - 20℃~600℃，精度 ±1%</w:t>
                  </w:r>
                </w:p>
              </w:tc>
              <w:tc>
                <w:tcPr>
                  <w:tcW w:w="800" w:type="dxa"/>
                  <w:vAlign w:val="center"/>
                </w:tcPr>
                <w:p w14:paraId="0DD7B89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台</w:t>
                  </w:r>
                </w:p>
              </w:tc>
              <w:tc>
                <w:tcPr>
                  <w:tcW w:w="3436" w:type="dxa"/>
                  <w:vAlign w:val="center"/>
                </w:tcPr>
                <w:p w14:paraId="395B80A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启动前快速检测发动机机体温度，确认符合热态启动（通常≥60℃）条件</w:t>
                  </w:r>
                </w:p>
              </w:tc>
            </w:tr>
            <w:tr w14:paraId="3ED2FAF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6ED51D6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center"/>
                </w:tcPr>
                <w:p w14:paraId="387D4D9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启动回路万用表</w:t>
                  </w:r>
                </w:p>
              </w:tc>
              <w:tc>
                <w:tcPr>
                  <w:tcW w:w="2067" w:type="dxa"/>
                  <w:vAlign w:val="center"/>
                </w:tcPr>
                <w:p w14:paraId="2C791D8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交流 / 直流双用，精度 0.5 级</w:t>
                  </w:r>
                </w:p>
              </w:tc>
              <w:tc>
                <w:tcPr>
                  <w:tcW w:w="800" w:type="dxa"/>
                  <w:vAlign w:val="center"/>
                </w:tcPr>
                <w:p w14:paraId="2A8340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台</w:t>
                  </w:r>
                </w:p>
              </w:tc>
              <w:tc>
                <w:tcPr>
                  <w:tcW w:w="3436" w:type="dxa"/>
                  <w:vAlign w:val="center"/>
                </w:tcPr>
                <w:p w14:paraId="4575081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启动前校验自动启动回路电压、通断状态，避免电路故障导致启动失败</w:t>
                  </w:r>
                </w:p>
              </w:tc>
            </w:tr>
          </w:tbl>
          <w:p w14:paraId="26612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57990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DD1E85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7A05BAF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EFD93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111CBA5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4A4122C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56D4A1C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DF0E11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0A72070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C77CB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700999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05BE19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精通热态自动启动控制系统原理，可操作启动面板、监控启动参数，能快速处理启动回路故障</w:t>
                  </w:r>
                </w:p>
              </w:tc>
            </w:tr>
            <w:tr w14:paraId="14AB793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D93BE9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4872CD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98C50D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67B3474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0A78246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3C078EB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0424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08134175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3E39384F">
            <w:pPr>
              <w:pStyle w:val="16"/>
              <w:widowControl/>
              <w:numPr>
                <w:ilvl w:val="0"/>
                <w:numId w:val="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确认调速器处于怠速档位、离合分离，按下自动启动控制面板 “启动” 按钮。</w:t>
            </w:r>
          </w:p>
          <w:p w14:paraId="42BFEB46">
            <w:pPr>
              <w:pStyle w:val="16"/>
              <w:widowControl/>
              <w:numPr>
                <w:ilvl w:val="0"/>
                <w:numId w:val="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密切监控启动电流、机油压力等参数，观察发动机启动状态。</w:t>
            </w:r>
          </w:p>
          <w:p w14:paraId="5EB51CDA">
            <w:pPr>
              <w:pStyle w:val="16"/>
              <w:widowControl/>
              <w:numPr>
                <w:ilvl w:val="0"/>
                <w:numId w:val="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启动成功后保持怠速运转 2-3 分钟，监听运转声音，核查有无油液泄漏、仪表读数异常。</w:t>
            </w:r>
          </w:p>
          <w:p w14:paraId="3B9F640F">
            <w:pPr>
              <w:pStyle w:val="16"/>
              <w:widowControl/>
              <w:numPr>
                <w:ilvl w:val="0"/>
                <w:numId w:val="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无异常则完成操作；若启动失败或出现故障，立即按下应急停机按钮排查问题。</w:t>
            </w:r>
          </w:p>
          <w:p w14:paraId="5BD6BD97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436495" cy="3193415"/>
                  <wp:effectExtent l="0" t="0" r="1905" b="6985"/>
                  <wp:docPr id="2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495" cy="319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EEC03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4E25F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5631AA6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086EC2F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2F46401B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调节发动机怠速转速控制操作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0934E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0E844160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56A77D2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3C9F5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3ACFA248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</w:t>
            </w:r>
          </w:p>
        </w:tc>
        <w:tc>
          <w:tcPr>
            <w:tcW w:w="7088" w:type="dxa"/>
            <w:gridSpan w:val="2"/>
            <w:vAlign w:val="center"/>
          </w:tcPr>
          <w:p w14:paraId="333CBBB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调节发动机怠速转速控制操作</w:t>
            </w:r>
          </w:p>
        </w:tc>
      </w:tr>
      <w:tr w14:paraId="4EB14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4831C2B9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398B5250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4C444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0D07166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7B0FC39E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若调节后出现转速波动、怠速不稳等问题，需排查调速器故障、进气系统漏气或燃油供给异常，禁止盲目重复调整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。</w:t>
            </w:r>
          </w:p>
        </w:tc>
      </w:tr>
      <w:tr w14:paraId="4F1C3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8472" w:type="dxa"/>
            <w:gridSpan w:val="3"/>
          </w:tcPr>
          <w:p w14:paraId="48AC2BF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298DCF3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2DE26EB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42BB13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168596E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727D798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6E1933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16371D0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0CCB5A4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5F23D1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1AC8DE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数字转速表</w:t>
                  </w:r>
                </w:p>
              </w:tc>
              <w:tc>
                <w:tcPr>
                  <w:tcW w:w="2067" w:type="dxa"/>
                  <w:vAlign w:val="top"/>
                </w:tcPr>
                <w:p w14:paraId="3441A3C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测量范围0-3000r/min，精度±1r/min</w:t>
                  </w:r>
                </w:p>
              </w:tc>
              <w:tc>
                <w:tcPr>
                  <w:tcW w:w="800" w:type="dxa"/>
                  <w:vAlign w:val="top"/>
                </w:tcPr>
                <w:p w14:paraId="38F3CAD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143CFC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实时精准监测转速，确保调节值符合技术标准</w:t>
                  </w:r>
                </w:p>
              </w:tc>
            </w:tr>
            <w:tr w14:paraId="22F5263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14CA4E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4950C4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精密扭矩螺丝刀</w:t>
                  </w:r>
                </w:p>
              </w:tc>
              <w:tc>
                <w:tcPr>
                  <w:tcW w:w="2067" w:type="dxa"/>
                  <w:vAlign w:val="top"/>
                </w:tcPr>
                <w:p w14:paraId="77E56F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量程0-50N·m，带力矩锁定功能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7F8F4A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3436" w:type="dxa"/>
                  <w:vAlign w:val="top"/>
                </w:tcPr>
                <w:p w14:paraId="0F4E17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用于小幅微调调速螺钉，避免用力过猛导致转速突变</w:t>
                  </w:r>
                </w:p>
              </w:tc>
            </w:tr>
            <w:tr w14:paraId="2B3AB48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1E3590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083A821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168ABBF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</w:t>
                  </w:r>
                </w:p>
              </w:tc>
              <w:tc>
                <w:tcPr>
                  <w:tcW w:w="800" w:type="dxa"/>
                  <w:vAlign w:val="top"/>
                </w:tcPr>
                <w:p w14:paraId="410DCA4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6D65606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置于操作手可及处，转速失控等异常时快速停机</w:t>
                  </w:r>
                </w:p>
              </w:tc>
            </w:tr>
            <w:tr w14:paraId="6C5B32D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9D4FF2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07B90A4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降噪耳塞</w:t>
                  </w:r>
                </w:p>
              </w:tc>
              <w:tc>
                <w:tcPr>
                  <w:tcW w:w="2067" w:type="dxa"/>
                  <w:vAlign w:val="top"/>
                </w:tcPr>
                <w:p w14:paraId="43EF133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降噪值≥25dB，符合GB/T 23466-2009标准</w:t>
                  </w:r>
                </w:p>
              </w:tc>
              <w:tc>
                <w:tcPr>
                  <w:tcW w:w="800" w:type="dxa"/>
                  <w:vAlign w:val="top"/>
                </w:tcPr>
                <w:p w14:paraId="01D3D1B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1副</w:t>
                  </w:r>
                </w:p>
                <w:p w14:paraId="606C16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3436" w:type="dxa"/>
                  <w:vAlign w:val="top"/>
                </w:tcPr>
                <w:p w14:paraId="5F2374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减少发动机运转噪音对操作人员听力的损伤</w:t>
                  </w:r>
                </w:p>
              </w:tc>
            </w:tr>
            <w:tr w14:paraId="60A19D6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30248C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11F155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警示标识牌</w:t>
                  </w:r>
                </w:p>
              </w:tc>
              <w:tc>
                <w:tcPr>
                  <w:tcW w:w="2067" w:type="dxa"/>
                  <w:vAlign w:val="top"/>
                </w:tcPr>
                <w:p w14:paraId="0E28CCE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“旋转部件，禁止靠近”，尺寸30cm×40cm</w:t>
                  </w:r>
                </w:p>
              </w:tc>
              <w:tc>
                <w:tcPr>
                  <w:tcW w:w="800" w:type="dxa"/>
                  <w:vAlign w:val="top"/>
                </w:tcPr>
                <w:p w14:paraId="216A637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1块</w:t>
                  </w:r>
                </w:p>
              </w:tc>
              <w:tc>
                <w:tcPr>
                  <w:tcW w:w="3436" w:type="dxa"/>
                  <w:vAlign w:val="top"/>
                </w:tcPr>
                <w:p w14:paraId="6F73BCF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放置于操作区域，防止无关人员误入引发安全事故</w:t>
                  </w:r>
                </w:p>
              </w:tc>
            </w:tr>
          </w:tbl>
          <w:p w14:paraId="5B409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0D83AE4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065F54E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12220C8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C63A51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144107C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5B4E653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1A6EE7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0101BB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7948FEB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62F30FE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3EEF4B2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189BB5C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精通调速机构原理，可使用专业工具小幅精准调节怠速，能实时监测转速及发动机运转状态，处理调节过程中的转速波动问题</w:t>
                  </w:r>
                </w:p>
              </w:tc>
            </w:tr>
            <w:tr w14:paraId="6127AC1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0A1DA74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6BB91D9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F599D1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14FE3C0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145C1E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7A85EC5E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904B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5EC993D9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505B129D">
            <w:pPr>
              <w:pStyle w:val="16"/>
              <w:widowControl/>
              <w:numPr>
                <w:ilvl w:val="0"/>
                <w:numId w:val="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确认发动机暖机完成、处于空载怠速状态，将转速表对准监测位置。</w:t>
            </w:r>
          </w:p>
          <w:p w14:paraId="6770AFEE">
            <w:pPr>
              <w:pStyle w:val="16"/>
              <w:widowControl/>
              <w:numPr>
                <w:ilvl w:val="0"/>
                <w:numId w:val="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用精密扭矩螺丝刀小幅微调调速螺钉，每次调整后稳定 30 秒，观察转速表读数。</w:t>
            </w:r>
          </w:p>
          <w:p w14:paraId="147A35B1">
            <w:pPr>
              <w:pStyle w:val="16"/>
              <w:widowControl/>
              <w:numPr>
                <w:ilvl w:val="0"/>
                <w:numId w:val="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反复微调至转速符合技术标准，锁定调速螺钉。</w:t>
            </w:r>
          </w:p>
          <w:p w14:paraId="312A6CD5">
            <w:pPr>
              <w:pStyle w:val="16"/>
              <w:widowControl/>
              <w:numPr>
                <w:ilvl w:val="0"/>
                <w:numId w:val="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持续监护 5 分钟，确认转速稳定、发动机运转无异常，即完成操作；若出现转速失控，立即按下应急停机按钮。</w:t>
            </w:r>
          </w:p>
          <w:p w14:paraId="0A82E5CA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151380" cy="4314825"/>
                  <wp:effectExtent l="0" t="0" r="1270" b="9525"/>
                  <wp:docPr id="3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431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A8EFFB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5476E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6251D0D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2253C3E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357D59D2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6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调节发动机负荷输出控制操作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492A6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2E152743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2F469F91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68691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196D1A7B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7088" w:type="dxa"/>
            <w:gridSpan w:val="2"/>
            <w:vAlign w:val="center"/>
          </w:tcPr>
          <w:p w14:paraId="5FD10FA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调节发动机负荷输出控制操作</w:t>
            </w:r>
          </w:p>
        </w:tc>
      </w:tr>
      <w:tr w14:paraId="6BBAC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3DE13A33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7C1D9731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6B989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431EBDB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4116E4A9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若加载过程中出现转速波动、异响、剧烈振动、油压下降、温度骤升等异常，立即停止加载</w:t>
            </w:r>
          </w:p>
        </w:tc>
      </w:tr>
      <w:tr w14:paraId="62A1F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  <w:jc w:val="center"/>
        </w:trPr>
        <w:tc>
          <w:tcPr>
            <w:tcW w:w="8472" w:type="dxa"/>
            <w:gridSpan w:val="3"/>
          </w:tcPr>
          <w:p w14:paraId="31E7118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1AE1108D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0E2358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45AF8E3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3B8BDC7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340964A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5526FF6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3BDC9D9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590CD21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82C84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09E000A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数字负荷监测仪</w:t>
                  </w:r>
                </w:p>
              </w:tc>
              <w:tc>
                <w:tcPr>
                  <w:tcW w:w="2067" w:type="dxa"/>
                  <w:vAlign w:val="top"/>
                </w:tcPr>
                <w:p w14:paraId="1D409B7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测量范围0-120%额定负荷，精度±0.5%</w:t>
                  </w:r>
                </w:p>
              </w:tc>
              <w:tc>
                <w:tcPr>
                  <w:tcW w:w="800" w:type="dxa"/>
                  <w:vAlign w:val="top"/>
                </w:tcPr>
                <w:p w14:paraId="2728554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4B6748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实时精准监测负荷变化，确保调节幅度符合“不超额定负荷10%”的规范</w:t>
                  </w:r>
                </w:p>
              </w:tc>
            </w:tr>
            <w:tr w14:paraId="4EB3D47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426148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1CCBB79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多参数监测仪表</w:t>
                  </w:r>
                </w:p>
              </w:tc>
              <w:tc>
                <w:tcPr>
                  <w:tcW w:w="2067" w:type="dxa"/>
                  <w:vAlign w:val="top"/>
                </w:tcPr>
                <w:p w14:paraId="11C5A37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可同步监测转速、油压、水温、排气温度</w:t>
                  </w:r>
                </w:p>
              </w:tc>
              <w:tc>
                <w:tcPr>
                  <w:tcW w:w="800" w:type="dxa"/>
                  <w:vAlign w:val="top"/>
                </w:tcPr>
                <w:p w14:paraId="3D9327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704DF6C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加载过程中同步追踪核心参数，及时发现转速波动、温度骤升等异常</w:t>
                  </w:r>
                </w:p>
              </w:tc>
            </w:tr>
            <w:tr w14:paraId="6E0D41A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398711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074467E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33A843A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</w:t>
                  </w:r>
                </w:p>
              </w:tc>
              <w:tc>
                <w:tcPr>
                  <w:tcW w:w="800" w:type="dxa"/>
                  <w:vAlign w:val="top"/>
                </w:tcPr>
                <w:p w14:paraId="3C2AB48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7DDACE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安装于操作区易触及处，负荷调节异常时可快速切断系统</w:t>
                  </w:r>
                </w:p>
              </w:tc>
            </w:tr>
            <w:tr w14:paraId="6EB16A0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B56E9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7611D5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负荷调节专用工具</w:t>
                  </w:r>
                </w:p>
              </w:tc>
              <w:tc>
                <w:tcPr>
                  <w:tcW w:w="2067" w:type="dxa"/>
                  <w:vAlign w:val="top"/>
                </w:tcPr>
                <w:p w14:paraId="0B4F51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适配发动机负荷控制器接口，带力矩调节功能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6ED90C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2594E8C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用于平稳渐进调节负荷，避免手动操作导致负荷骤变</w:t>
                  </w:r>
                </w:p>
              </w:tc>
            </w:tr>
            <w:tr w14:paraId="7FEDCE7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17A5E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73EE6D4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干粉灭火器</w:t>
                  </w:r>
                </w:p>
              </w:tc>
              <w:tc>
                <w:tcPr>
                  <w:tcW w:w="2067" w:type="dxa"/>
                  <w:vAlign w:val="top"/>
                </w:tcPr>
                <w:p w14:paraId="656CEB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MFZ/ABC4型，有效喷射距离≥3米</w:t>
                  </w:r>
                </w:p>
              </w:tc>
              <w:tc>
                <w:tcPr>
                  <w:tcW w:w="800" w:type="dxa"/>
                  <w:vAlign w:val="top"/>
                </w:tcPr>
                <w:p w14:paraId="3F02E5C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1具</w:t>
                  </w:r>
                </w:p>
              </w:tc>
              <w:tc>
                <w:tcPr>
                  <w:tcW w:w="3436" w:type="dxa"/>
                  <w:vAlign w:val="top"/>
                </w:tcPr>
                <w:p w14:paraId="728B66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放置在操作区域10米内，应对负荷调节中可能出现的燃油泄漏火情</w:t>
                  </w:r>
                </w:p>
              </w:tc>
            </w:tr>
            <w:tr w14:paraId="4268297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54C409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25B3A78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安全警示标识牌</w:t>
                  </w:r>
                </w:p>
              </w:tc>
              <w:tc>
                <w:tcPr>
                  <w:tcW w:w="2067" w:type="dxa"/>
                  <w:vAlign w:val="top"/>
                </w:tcPr>
                <w:p w14:paraId="39B9500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“负荷调节作业，禁止靠近”，尺寸30cm×40cm</w:t>
                  </w:r>
                </w:p>
              </w:tc>
              <w:tc>
                <w:tcPr>
                  <w:tcW w:w="800" w:type="dxa"/>
                  <w:vAlign w:val="top"/>
                </w:tcPr>
                <w:p w14:paraId="20BA11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1块</w:t>
                  </w:r>
                </w:p>
              </w:tc>
              <w:tc>
                <w:tcPr>
                  <w:tcW w:w="3436" w:type="dxa"/>
                  <w:vAlign w:val="top"/>
                </w:tcPr>
                <w:p w14:paraId="56DD9A0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置于操作区域入口处，防止无关人员误入引发安全事故</w:t>
                  </w:r>
                </w:p>
              </w:tc>
            </w:tr>
          </w:tbl>
          <w:p w14:paraId="667B5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7B0FEC6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3C74D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473D2A2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B3D28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5FC5566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6B3A036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3984BD1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BDB7A7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301FA76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D8A766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5C7B09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3E77C27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精通负荷调节原理，可按 “渐进加载 / 卸载” 规范操作，能通过多参数仪表实时监测状态，及时处理负荷漂移、转速波动等问题</w:t>
                  </w:r>
                </w:p>
              </w:tc>
            </w:tr>
            <w:tr w14:paraId="75C7DEC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32DF4E7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301530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5E13FC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26A2BF7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03D423F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21A9C94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917F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320017E9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6E916562">
            <w:pPr>
              <w:pStyle w:val="16"/>
              <w:widowControl/>
              <w:numPr>
                <w:ilvl w:val="0"/>
                <w:numId w:val="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确认发动机暖机完成、参数正常，启动负荷监测与多参数仪表。</w:t>
            </w:r>
          </w:p>
          <w:p w14:paraId="3A0B5B2F">
            <w:pPr>
              <w:pStyle w:val="16"/>
              <w:widowControl/>
              <w:numPr>
                <w:ilvl w:val="0"/>
                <w:numId w:val="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 “每次不超额定负荷 10%” 原则，用专用工具平稳渐进加载 / 卸载，每步调整后稳定 1-2 分钟。</w:t>
            </w:r>
          </w:p>
          <w:p w14:paraId="43409214">
            <w:pPr>
              <w:pStyle w:val="16"/>
              <w:widowControl/>
              <w:numPr>
                <w:ilvl w:val="0"/>
                <w:numId w:val="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密切监控负荷值及转速、油压等参数，无异常再继续调整。</w:t>
            </w:r>
          </w:p>
          <w:p w14:paraId="70429A9F">
            <w:pPr>
              <w:pStyle w:val="16"/>
              <w:widowControl/>
              <w:numPr>
                <w:ilvl w:val="0"/>
                <w:numId w:val="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达到目标负荷后稳定运行 10-15 分钟复核，无波动即完成操作；异常则立即减载停机排查。</w:t>
            </w:r>
          </w:p>
          <w:p w14:paraId="76C120ED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608580" cy="4314825"/>
                  <wp:effectExtent l="0" t="0" r="1270" b="9525"/>
                  <wp:docPr id="3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8580" cy="431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60D0C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39BB4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42CEAD2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3769F6F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48CFEE04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7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监控发动机运行参数记录操作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03808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1C3DA83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527BDFDB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37FEC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47DFF59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7088" w:type="dxa"/>
            <w:gridSpan w:val="2"/>
            <w:vAlign w:val="center"/>
          </w:tcPr>
          <w:p w14:paraId="3D0F0179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监控发动机运行参数记录操作</w:t>
            </w:r>
          </w:p>
        </w:tc>
      </w:tr>
      <w:tr w14:paraId="2BC0F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3746042A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557DD6A7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4A314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553C8E3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43D40B2B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若出现参数骤变（如转速突升 / 突降、油压骤降），需立即触发预警。</w:t>
            </w:r>
          </w:p>
        </w:tc>
      </w:tr>
      <w:tr w14:paraId="7C7C1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8472" w:type="dxa"/>
            <w:gridSpan w:val="3"/>
          </w:tcPr>
          <w:p w14:paraId="0E3D1B9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8352E4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6A6D15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B673DF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40BD78F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05C8125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23BBC65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79131A1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59B427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B14699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2EB0101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多参数集成监测仪</w:t>
                  </w:r>
                </w:p>
              </w:tc>
              <w:tc>
                <w:tcPr>
                  <w:tcW w:w="2067" w:type="dxa"/>
                  <w:vAlign w:val="top"/>
                </w:tcPr>
                <w:p w14:paraId="49C4ECD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可监测转速、油压、水温等6项以上参数，精度±0.5%，带数据锁定功能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0DAE1D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25F3411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实现核心参数同步监测，避免单仪表读取的时间差导致数据关联失真</w:t>
                  </w:r>
                </w:p>
              </w:tc>
            </w:tr>
            <w:tr w14:paraId="5D91B54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E02C7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2579BCD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标准化参数记录表格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2029E58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含工况、时间、各参数项、异常备注栏，A4规格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6859C3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1本（50页）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23D96AD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规范记录格式，确保参数项完整、可追溯，便于后续数据整理分析</w:t>
                  </w:r>
                </w:p>
              </w:tc>
            </w:tr>
            <w:tr w14:paraId="7AB60C8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7A0239A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4E54C18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电子记录仪</w:t>
                  </w:r>
                </w:p>
              </w:tc>
              <w:tc>
                <w:tcPr>
                  <w:tcW w:w="2067" w:type="dxa"/>
                  <w:vAlign w:val="top"/>
                </w:tcPr>
                <w:p w14:paraId="60F7A28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存储容量≥16GB，支持定时自动记录，可导出Excel格式，续航≥8小时</w:t>
                  </w:r>
                </w:p>
              </w:tc>
              <w:tc>
                <w:tcPr>
                  <w:tcW w:w="800" w:type="dxa"/>
                  <w:vAlign w:val="top"/>
                </w:tcPr>
                <w:p w14:paraId="0F3BD02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69960D1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适配长时间运行监测，减少人工记录误差，方便数据备份和后期追溯</w:t>
                  </w:r>
                </w:p>
              </w:tc>
            </w:tr>
            <w:tr w14:paraId="733EEA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7D4B80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7447EE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高精度秒表</w:t>
                  </w:r>
                </w:p>
              </w:tc>
              <w:tc>
                <w:tcPr>
                  <w:tcW w:w="2067" w:type="dxa"/>
                  <w:vAlign w:val="top"/>
                </w:tcPr>
                <w:p w14:paraId="7E4906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计时精度±0.01秒，带定时提醒功能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6D5A979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1块</w:t>
                  </w:r>
                </w:p>
              </w:tc>
              <w:tc>
                <w:tcPr>
                  <w:tcW w:w="3436" w:type="dxa"/>
                  <w:vAlign w:val="top"/>
                </w:tcPr>
                <w:p w14:paraId="6A2ED96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确保按预设时间间隔（如5分钟/15分钟）精准记录，避免记录时间混乱</w:t>
                  </w:r>
                </w:p>
              </w:tc>
            </w:tr>
            <w:tr w14:paraId="07C9337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EC50F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7FF4445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应急通讯设备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3773FFA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对讲机，有效通讯距离≥500米，待机时间≥24小时</w:t>
                  </w:r>
                </w:p>
              </w:tc>
              <w:tc>
                <w:tcPr>
                  <w:tcW w:w="800" w:type="dxa"/>
                  <w:vAlign w:val="top"/>
                </w:tcPr>
                <w:p w14:paraId="32D3863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1对</w:t>
                  </w:r>
                </w:p>
              </w:tc>
              <w:tc>
                <w:tcPr>
                  <w:tcW w:w="3436" w:type="dxa"/>
                  <w:vAlign w:val="top"/>
                </w:tcPr>
                <w:p w14:paraId="3E23DD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发现参数异常时，可快速与发动机操作人员联动，避免故障扩大</w:t>
                  </w:r>
                </w:p>
              </w:tc>
            </w:tr>
            <w:tr w14:paraId="170654E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93A2B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31A0E56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仪表校验工具包</w:t>
                  </w:r>
                </w:p>
              </w:tc>
              <w:tc>
                <w:tcPr>
                  <w:tcW w:w="2067" w:type="dxa"/>
                  <w:vAlign w:val="top"/>
                </w:tcPr>
                <w:p w14:paraId="66E2278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含标准信号源、校准砝码，适配常用监测仪表型号</w:t>
                  </w:r>
                </w:p>
              </w:tc>
              <w:tc>
                <w:tcPr>
                  <w:tcW w:w="800" w:type="dxa"/>
                  <w:vAlign w:val="top"/>
                </w:tcPr>
                <w:p w14:paraId="306864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57A22FE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操作前快速校验仪表精度，确保监测数据真实可靠，避免因仪表失准导致误判</w:t>
                  </w:r>
                </w:p>
              </w:tc>
            </w:tr>
          </w:tbl>
          <w:p w14:paraId="3C969B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4DE6362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4434C8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531A7CD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C18C44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22BA84A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75C564F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1CCF94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B228F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4E924FA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666A260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2DFB1B1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44D1B86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精通各类监测仪表操作，能精准读取并规范记录参数，可识别数据异常波动，掌握应急联动流程</w:t>
                  </w:r>
                </w:p>
              </w:tc>
            </w:tr>
            <w:tr w14:paraId="77ED2A8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1402E7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4C7D22A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1BAEBC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688E556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11EAC37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7869F14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9099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9" w:hRule="atLeast"/>
          <w:jc w:val="center"/>
        </w:trPr>
        <w:tc>
          <w:tcPr>
            <w:tcW w:w="8472" w:type="dxa"/>
            <w:gridSpan w:val="3"/>
          </w:tcPr>
          <w:p w14:paraId="01025FDE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18BE4BD4">
            <w:pPr>
              <w:pStyle w:val="16"/>
              <w:widowControl/>
              <w:numPr>
                <w:ilvl w:val="0"/>
                <w:numId w:val="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操作前校验监测仪表和记录仪，准备标准化记录表格。</w:t>
            </w:r>
          </w:p>
          <w:p w14:paraId="7424442E">
            <w:pPr>
              <w:pStyle w:val="16"/>
              <w:widowControl/>
              <w:numPr>
                <w:ilvl w:val="0"/>
                <w:numId w:val="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明确发动机工况及记录间隔，启动监测设备待数据稳定后，按间隔精准读取并同步记录各项参数。</w:t>
            </w:r>
          </w:p>
          <w:p w14:paraId="45E94E2C">
            <w:pPr>
              <w:pStyle w:val="16"/>
              <w:widowControl/>
              <w:numPr>
                <w:ilvl w:val="0"/>
                <w:numId w:val="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发现异常时缩短记录间隔、标注详情并联动操作人员。</w:t>
            </w:r>
          </w:p>
          <w:p w14:paraId="4105EAA2">
            <w:pPr>
              <w:pStyle w:val="16"/>
              <w:widowControl/>
              <w:numPr>
                <w:ilvl w:val="0"/>
                <w:numId w:val="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记录完成后整理核对数据，备份存档并收纳设备。</w:t>
            </w:r>
          </w:p>
          <w:p w14:paraId="1DE3CCD9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3066415" cy="4652010"/>
                  <wp:effectExtent l="0" t="0" r="635" b="15240"/>
                  <wp:docPr id="3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415" cy="465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C227D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2AA3D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6D00F60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74D9B83E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CEE04CC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"/>
        </w:rPr>
        <w:t>分析发动机运行状态趋势操作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2F875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2BFD5E39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71618F1B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13C50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78BBE9F8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</w:t>
            </w:r>
          </w:p>
        </w:tc>
        <w:tc>
          <w:tcPr>
            <w:tcW w:w="7088" w:type="dxa"/>
            <w:gridSpan w:val="2"/>
            <w:vAlign w:val="center"/>
          </w:tcPr>
          <w:p w14:paraId="616C0AE3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分析发动机运行状态趋势操作</w:t>
            </w:r>
          </w:p>
        </w:tc>
      </w:tr>
      <w:tr w14:paraId="4235D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3776387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71F90534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00BD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6F938D1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71D0A65B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分析结论需客观严谨，避免绝对化表述。</w:t>
            </w:r>
          </w:p>
        </w:tc>
      </w:tr>
      <w:tr w14:paraId="5B3D3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471593E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0155660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55351D1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CD8572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2BF6E4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41E0462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0BE5BC1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2EEA108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7035F0A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CE9A33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453FE9D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数据处理分析软件</w:t>
                  </w:r>
                </w:p>
              </w:tc>
              <w:tc>
                <w:tcPr>
                  <w:tcW w:w="2067" w:type="dxa"/>
                  <w:vAlign w:val="top"/>
                </w:tcPr>
                <w:p w14:paraId="382E036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支持多参数联动分析、趋势曲线绘制，可导入Excel/CSV格式数据，带异常阈值预警功能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61F538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01F0AB8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实现原始数据标准化处理、多工况趋势对比，快速识别参数持续偏移等异常趋势</w:t>
                  </w:r>
                </w:p>
              </w:tc>
            </w:tr>
            <w:tr w14:paraId="14E564C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8798D8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6D6BA08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高性能分析电脑</w:t>
                  </w:r>
                </w:p>
              </w:tc>
              <w:tc>
                <w:tcPr>
                  <w:tcW w:w="2067" w:type="dxa"/>
                  <w:vAlign w:val="top"/>
                </w:tcPr>
                <w:p w14:paraId="6AFB46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CPU≥i5，内存≥16GB，硬盘≥512GB，配备高清显示屏，支持多窗口数据对比</w:t>
                  </w:r>
                </w:p>
              </w:tc>
              <w:tc>
                <w:tcPr>
                  <w:tcW w:w="800" w:type="dxa"/>
                  <w:vAlign w:val="top"/>
                </w:tcPr>
                <w:p w14:paraId="4D7DF4D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46BDF10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满足大数据量（多周期运行记录）处理需求，保障分析软件流畅运行及趋势图清晰展示</w:t>
                  </w:r>
                </w:p>
              </w:tc>
            </w:tr>
            <w:tr w14:paraId="71D5523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58B8D9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769C62C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标准化趋势分析模板</w:t>
                  </w:r>
                </w:p>
              </w:tc>
              <w:tc>
                <w:tcPr>
                  <w:tcW w:w="2067" w:type="dxa"/>
                  <w:vAlign w:val="top"/>
                </w:tcPr>
                <w:p w14:paraId="024706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含数据预处理表、多参数趋势对比图框架、工况关联标注栏、结论输出模块，A4规格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2DB5A8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1套（电子档+纸质档各1份）</w:t>
                  </w:r>
                </w:p>
              </w:tc>
              <w:tc>
                <w:tcPr>
                  <w:tcW w:w="3436" w:type="dxa"/>
                  <w:vAlign w:val="top"/>
                </w:tcPr>
                <w:p w14:paraId="5BE8358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规范分析流程，确保不同批次分析结果格式统一，便于数据追溯和团队共享</w:t>
                  </w:r>
                </w:p>
              </w:tc>
            </w:tr>
            <w:tr w14:paraId="006303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F950C1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0765AA9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高精度打印机</w:t>
                  </w:r>
                </w:p>
              </w:tc>
              <w:tc>
                <w:tcPr>
                  <w:tcW w:w="2067" w:type="dxa"/>
                  <w:vAlign w:val="top"/>
                </w:tcPr>
                <w:p w14:paraId="7C0726B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支持彩色打印，分辨率≥1200dpi，可打印A3/A4规格趋势曲线图、分析报告</w:t>
                  </w:r>
                </w:p>
              </w:tc>
              <w:tc>
                <w:tcPr>
                  <w:tcW w:w="800" w:type="dxa"/>
                  <w:vAlign w:val="top"/>
                </w:tcPr>
                <w:p w14:paraId="3D247A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2B4B3D2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用于输出纸质版趋势分析报告、趋势曲线图，便于存档备案和运维团队线下查阅</w:t>
                  </w:r>
                </w:p>
              </w:tc>
            </w:tr>
            <w:tr w14:paraId="6C5577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A10AC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357A8E0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数据存储设备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65415F6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移动硬盘，容量≥2TB，传输速度≥5Gbps，支持加密存储</w:t>
                  </w:r>
                </w:p>
              </w:tc>
              <w:tc>
                <w:tcPr>
                  <w:tcW w:w="800" w:type="dxa"/>
                  <w:vAlign w:val="top"/>
                </w:tcPr>
                <w:p w14:paraId="7B2AFE6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5A21D75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备份原始运行数据、预处理数据及最终分析报告，防止数据丢失，保障趋势分析可追溯</w:t>
                  </w:r>
                </w:p>
              </w:tc>
            </w:tr>
            <w:tr w14:paraId="40454C0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71A0D36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3CD1AF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发动机技术手册（含基准参数）</w:t>
                  </w:r>
                </w:p>
              </w:tc>
              <w:tc>
                <w:tcPr>
                  <w:tcW w:w="2067" w:type="dxa"/>
                  <w:vAlign w:val="top"/>
                </w:tcPr>
                <w:p w14:paraId="2D53843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涵盖对应型号发动机各工况额定参数范围、历史稳定运行基准值、参数关联特性说明</w:t>
                  </w:r>
                </w:p>
              </w:tc>
              <w:tc>
                <w:tcPr>
                  <w:tcW w:w="800" w:type="dxa"/>
                  <w:vAlign w:val="top"/>
                </w:tcPr>
                <w:p w14:paraId="75821E4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1份</w:t>
                  </w:r>
                </w:p>
              </w:tc>
              <w:tc>
                <w:tcPr>
                  <w:tcW w:w="3436" w:type="dxa"/>
                  <w:vAlign w:val="top"/>
                </w:tcPr>
                <w:p w14:paraId="5323961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为趋势分析提供核心基准依据，辅助区分正常波动与异常趋势，避免误判</w:t>
                  </w:r>
                </w:p>
              </w:tc>
            </w:tr>
          </w:tbl>
          <w:p w14:paraId="29337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B7668B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28375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4BA0F70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A9C5BD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0FD2E12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305B7F4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6FAFA7B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2946B8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2CD7FA7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发动机数据分析专业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1A9A4C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3419CE6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784760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精通发动机运行参数关联特性，能使用分析软件完成数据预处理、趋势曲线绘制与异常识别，可结合工况输出精准分析结论</w:t>
                  </w:r>
                </w:p>
              </w:tc>
            </w:tr>
            <w:tr w14:paraId="5B37FF3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74CBAA7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4A64CE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技术文档整理专业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400D72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2F751C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5D69F2E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负责整理原始数据、标注工况信息，归档分析报告与趋势图表，协助核对基准参数与历史数据，保障分析结果可追溯</w:t>
                  </w:r>
                </w:p>
              </w:tc>
            </w:tr>
          </w:tbl>
          <w:p w14:paraId="64F06DE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9236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68AE29BD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0A2EBB8E">
            <w:pPr>
              <w:pStyle w:val="16"/>
              <w:widowControl/>
              <w:numPr>
                <w:ilvl w:val="0"/>
                <w:numId w:val="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先收集完整的发动机运行参数与工况数据，预处理后剔除异常值、统一单位并关联工况标签。</w:t>
            </w:r>
          </w:p>
          <w:p w14:paraId="4CBB0B96">
            <w:pPr>
              <w:pStyle w:val="16"/>
              <w:widowControl/>
              <w:numPr>
                <w:ilvl w:val="0"/>
                <w:numId w:val="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用分析软件绘制趋势曲线，结合技术手册基准值，联动多参数对比各工况趋势，识别异常偏移。</w:t>
            </w:r>
          </w:p>
          <w:p w14:paraId="04FBF4CF">
            <w:pPr>
              <w:pStyle w:val="16"/>
              <w:widowControl/>
              <w:numPr>
                <w:ilvl w:val="0"/>
                <w:numId w:val="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输出含趋势图、结论及预警建议的分析报告，备份原始数据与报告归档。</w:t>
            </w:r>
          </w:p>
          <w:p w14:paraId="3873375C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198370" cy="4631690"/>
                  <wp:effectExtent l="0" t="0" r="11430" b="16510"/>
                  <wp:docPr id="3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463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E6BE9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2E7A9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76FB6B6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2B38481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59EFA19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9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执行发动机正常停机流程操作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19664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519695F9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7AA162B1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4F472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2021761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8</w:t>
            </w:r>
          </w:p>
        </w:tc>
        <w:tc>
          <w:tcPr>
            <w:tcW w:w="7088" w:type="dxa"/>
            <w:gridSpan w:val="2"/>
            <w:vAlign w:val="center"/>
          </w:tcPr>
          <w:p w14:paraId="44E16AA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执行发动机正常停机流程操作</w:t>
            </w:r>
          </w:p>
        </w:tc>
      </w:tr>
      <w:tr w14:paraId="2E840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626B9006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3C32EC4A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437B7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576B073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287491FB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若发动机长期停机，需做好防潮、防尘处理。</w:t>
            </w:r>
          </w:p>
        </w:tc>
      </w:tr>
      <w:tr w14:paraId="3AF06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30EEA84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749B4A7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78016D8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5033D5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7A4D2E2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7AA00BB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2951169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0B8958F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35EF606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7F6FB6D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01EDE8D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负荷卸载控制装置</w:t>
                  </w:r>
                </w:p>
              </w:tc>
              <w:tc>
                <w:tcPr>
                  <w:tcW w:w="2067" w:type="dxa"/>
                  <w:vAlign w:val="top"/>
                </w:tcPr>
                <w:p w14:paraId="50AEEF7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适配发动机型号，支持平稳渐进卸载，卸载精度±2%额定负荷</w:t>
                  </w:r>
                </w:p>
              </w:tc>
              <w:tc>
                <w:tcPr>
                  <w:tcW w:w="800" w:type="dxa"/>
                  <w:vAlign w:val="top"/>
                </w:tcPr>
                <w:p w14:paraId="1C5E1C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19E6C4E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确保停机前负荷逐步降至空载，避免带负荷直接停机损坏部件</w:t>
                  </w:r>
                </w:p>
              </w:tc>
            </w:tr>
            <w:tr w14:paraId="397C73A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C3DAB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6DD4098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多参数监测仪表</w:t>
                  </w:r>
                </w:p>
              </w:tc>
              <w:tc>
                <w:tcPr>
                  <w:tcW w:w="2067" w:type="dxa"/>
                  <w:vAlign w:val="top"/>
                </w:tcPr>
                <w:p w14:paraId="05DE33A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可监测转速、油压、水温，精度±0.5%，带数据锁定功能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35A3148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52B982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停机前核查核心参数是否正常，异常时及时中止停机流程排查故障</w:t>
                  </w:r>
                </w:p>
              </w:tc>
            </w:tr>
            <w:tr w14:paraId="688B7B3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C1D686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0DFBFA7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6FAE4FD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</w:t>
                  </w:r>
                </w:p>
              </w:tc>
              <w:tc>
                <w:tcPr>
                  <w:tcW w:w="800" w:type="dxa"/>
                  <w:vAlign w:val="top"/>
                </w:tcPr>
                <w:p w14:paraId="682827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630C2AC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安装于操作区易触及处，停机过程中出现转速骤降、异响等异常时快速停机</w:t>
                  </w:r>
                </w:p>
              </w:tc>
            </w:tr>
            <w:tr w14:paraId="0A3CC30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304208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0C4BE3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红外测温仪</w:t>
                  </w:r>
                </w:p>
              </w:tc>
              <w:tc>
                <w:tcPr>
                  <w:tcW w:w="2067" w:type="dxa"/>
                  <w:vAlign w:val="top"/>
                </w:tcPr>
                <w:p w14:paraId="5DD2BF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测量范围-20℃~800℃，精度±1℃，响应时间≤0.5秒</w:t>
                  </w:r>
                </w:p>
              </w:tc>
              <w:tc>
                <w:tcPr>
                  <w:tcW w:w="800" w:type="dxa"/>
                  <w:vAlign w:val="top"/>
                </w:tcPr>
                <w:p w14:paraId="40610D3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4147075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停机后检测涡轮增压器、缸体等部件温度，确认正常降温无局部过热</w:t>
                  </w:r>
                </w:p>
              </w:tc>
            </w:tr>
            <w:tr w14:paraId="2588B70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4FF5E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6D3DC2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标准化停机记录表格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48CAFF7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含停机时间、工况、参数、异常备注栏，A4规格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10EF7A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1本（50页）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29A9675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规范记录停机全流程信息，便于后续故障追溯和运维管理</w:t>
                  </w:r>
                </w:p>
              </w:tc>
            </w:tr>
            <w:tr w14:paraId="57F6B76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31A60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5B41C3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巡检手电筒</w:t>
                  </w:r>
                </w:p>
              </w:tc>
              <w:tc>
                <w:tcPr>
                  <w:tcW w:w="2067" w:type="dxa"/>
                  <w:vAlign w:val="top"/>
                </w:tcPr>
                <w:p w14:paraId="1FE9AD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强光型，续航≥8小时，防水等级IPX4</w:t>
                  </w:r>
                </w:p>
              </w:tc>
              <w:tc>
                <w:tcPr>
                  <w:tcW w:w="800" w:type="dxa"/>
                  <w:vAlign w:val="top"/>
                </w:tcPr>
                <w:p w14:paraId="5ACE6F6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3436" w:type="dxa"/>
                  <w:vAlign w:val="top"/>
                </w:tcPr>
                <w:p w14:paraId="259E4CE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停机后用于检查发动机有无油液泄漏、部件松动等情况，适配昏暗操作环境</w:t>
                  </w:r>
                </w:p>
              </w:tc>
            </w:tr>
          </w:tbl>
          <w:p w14:paraId="2328EE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05374F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4BB12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7F4889C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26EFFC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06C0061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2CC61CA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435CADE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B9DB7D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130ADB6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船舶动力机械专业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CD452E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10E60FA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F2E486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精通正常停机流程，可规范完成负荷卸载、参数核查、停机指令执行，能处置停机过程中转速骤降等异常</w:t>
                  </w:r>
                </w:p>
              </w:tc>
            </w:tr>
            <w:tr w14:paraId="01D57C3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C39000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4ED4C8E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设备安全管理专业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25E2F3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DF85B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221A89C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负责作业现场安全监护，核查防护装备佩戴、环境风险管控，处置燃油泄漏等突发情况</w:t>
                  </w:r>
                </w:p>
              </w:tc>
            </w:tr>
          </w:tbl>
          <w:p w14:paraId="1C4C480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B005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169328CE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7508094">
            <w:pPr>
              <w:pStyle w:val="16"/>
              <w:widowControl/>
              <w:numPr>
                <w:ilvl w:val="0"/>
                <w:numId w:val="9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先逐步卸载发动机负荷至空载，保持空载稳定运转 3-8 分钟（依机型调整）。</w:t>
            </w:r>
          </w:p>
          <w:p w14:paraId="33D369A7">
            <w:pPr>
              <w:pStyle w:val="16"/>
              <w:widowControl/>
              <w:numPr>
                <w:ilvl w:val="0"/>
                <w:numId w:val="9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核查机油压力、水温等参数无异常后，电控机型按面板 “正常停机” 指令操作，机械机型调至怠速后关闭燃油开关或按停机按钮。</w:t>
            </w:r>
          </w:p>
          <w:p w14:paraId="29BB09F6">
            <w:pPr>
              <w:pStyle w:val="16"/>
              <w:widowControl/>
              <w:numPr>
                <w:ilvl w:val="0"/>
                <w:numId w:val="9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发动机停转后，关闭相关阀门，巡检有无泄漏，记录停机信息。</w:t>
            </w:r>
          </w:p>
          <w:p w14:paraId="259D1696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664460" cy="3926840"/>
                  <wp:effectExtent l="0" t="0" r="2540" b="16510"/>
                  <wp:docPr id="40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460" cy="392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12ACB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1BD7A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7B3649C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328F33D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429DF95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执行发动机待机模式切换操作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488D6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1E360C6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0368172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45FC6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25CB27F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</w:p>
        </w:tc>
        <w:tc>
          <w:tcPr>
            <w:tcW w:w="7088" w:type="dxa"/>
            <w:gridSpan w:val="2"/>
            <w:vAlign w:val="center"/>
          </w:tcPr>
          <w:p w14:paraId="1CCD64E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执行发动机待机模式切换操作</w:t>
            </w:r>
          </w:p>
        </w:tc>
      </w:tr>
      <w:tr w14:paraId="6A953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5BF2432A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68A94998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1281C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2596C63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6584B7C6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若出现转速波动过大、熄火风险，立即退出切换流程。</w:t>
            </w:r>
          </w:p>
        </w:tc>
      </w:tr>
      <w:tr w14:paraId="2F309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7B9575B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11708C1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7345B09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3AF0F86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1075E2C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81E9BD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5D636FE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2894FEC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9D6EB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1AE92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519D990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高精度转速表</w:t>
                  </w:r>
                </w:p>
              </w:tc>
              <w:tc>
                <w:tcPr>
                  <w:tcW w:w="2067" w:type="dxa"/>
                  <w:vAlign w:val="top"/>
                </w:tcPr>
                <w:p w14:paraId="4AB7E0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测量范围0-3000r/min，精度±1r/min，带待机转速阈值预警</w:t>
                  </w:r>
                </w:p>
              </w:tc>
              <w:tc>
                <w:tcPr>
                  <w:tcW w:w="800" w:type="dxa"/>
                  <w:vAlign w:val="top"/>
                </w:tcPr>
                <w:p w14:paraId="572896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7E2945C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实时监测切换过程及待机期间转速，避免转速波动过大或过低导致故障</w:t>
                  </w:r>
                </w:p>
              </w:tc>
            </w:tr>
            <w:tr w14:paraId="0147A7D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6BAEA8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6D7EB6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多参数监测仪</w:t>
                  </w:r>
                </w:p>
              </w:tc>
              <w:tc>
                <w:tcPr>
                  <w:tcW w:w="2067" w:type="dxa"/>
                  <w:vAlign w:val="top"/>
                </w:tcPr>
                <w:p w14:paraId="23C98C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可同步监测机油压力、电池电压、冷却液温度，数据刷新频率≥1次/秒</w:t>
                  </w:r>
                </w:p>
              </w:tc>
              <w:tc>
                <w:tcPr>
                  <w:tcW w:w="800" w:type="dxa"/>
                  <w:vAlign w:val="top"/>
                </w:tcPr>
                <w:p w14:paraId="6A3A38A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277773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切换前后及待机期间核查核心参数，及时发现油压不足、电池亏电等异常</w:t>
                  </w:r>
                </w:p>
              </w:tc>
            </w:tr>
            <w:tr w14:paraId="64B5C9D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00B73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2AA80CF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负荷卸载控制装置</w:t>
                  </w:r>
                </w:p>
              </w:tc>
              <w:tc>
                <w:tcPr>
                  <w:tcW w:w="2067" w:type="dxa"/>
                  <w:vAlign w:val="top"/>
                </w:tcPr>
                <w:p w14:paraId="527888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适配发动机型号，支持平稳渐进卸载，卸载时间可调节（0-5分钟）</w:t>
                  </w:r>
                </w:p>
              </w:tc>
              <w:tc>
                <w:tcPr>
                  <w:tcW w:w="800" w:type="dxa"/>
                  <w:vAlign w:val="top"/>
                </w:tcPr>
                <w:p w14:paraId="70EDCF1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5322C53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确保切换前负荷完全卸载至空载，避免带负荷切换损伤调速系统</w:t>
                  </w:r>
                </w:p>
              </w:tc>
            </w:tr>
            <w:tr w14:paraId="10B44CE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10311B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0B0F570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303B1EE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瞬时动作型，额定电流≥发动机工作电流，IP65防护等级</w:t>
                  </w:r>
                </w:p>
              </w:tc>
              <w:tc>
                <w:tcPr>
                  <w:tcW w:w="800" w:type="dxa"/>
                  <w:vAlign w:val="top"/>
                </w:tcPr>
                <w:p w14:paraId="1E2802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6C64ED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安装于操作区易触及处，切换过程中出现转速骤变、熄火风险时快速停机</w:t>
                  </w:r>
                </w:p>
              </w:tc>
            </w:tr>
            <w:tr w14:paraId="6D92483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51C8BC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215196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燃油加热/保温装置</w:t>
                  </w:r>
                </w:p>
              </w:tc>
              <w:tc>
                <w:tcPr>
                  <w:tcW w:w="2067" w:type="dxa"/>
                  <w:vAlign w:val="top"/>
                </w:tcPr>
                <w:p w14:paraId="17F2D5A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适配对应燃油型号，加热功率500-1000W，带温度自动控制功能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284116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776DE12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低温环境下保障待机期间燃油不结蜡，避免油路堵塞导致待机失败</w:t>
                  </w:r>
                </w:p>
              </w:tc>
            </w:tr>
            <w:tr w14:paraId="38CC229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E144D6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43BCF89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待机模式操作指引手册</w:t>
                  </w:r>
                </w:p>
              </w:tc>
              <w:tc>
                <w:tcPr>
                  <w:tcW w:w="2067" w:type="dxa"/>
                  <w:vAlign w:val="top"/>
                </w:tcPr>
                <w:p w14:paraId="73B756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含不同机型切换步骤、参数阈值、异常处置流程，A4规格彩色印刷</w:t>
                  </w:r>
                </w:p>
              </w:tc>
              <w:tc>
                <w:tcPr>
                  <w:tcW w:w="800" w:type="dxa"/>
                  <w:vAlign w:val="top"/>
                </w:tcPr>
                <w:p w14:paraId="3EB1E4E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1份</w:t>
                  </w:r>
                </w:p>
              </w:tc>
              <w:tc>
                <w:tcPr>
                  <w:tcW w:w="3436" w:type="dxa"/>
                  <w:vAlign w:val="top"/>
                </w:tcPr>
                <w:p w14:paraId="12A3E3C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规范操作流程，辅助操作人员精准完成切换，减少误操作风险</w:t>
                  </w:r>
                </w:p>
              </w:tc>
            </w:tr>
          </w:tbl>
          <w:p w14:paraId="4E6D5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6328FD6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934A2F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1939E8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9B361C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69F2A0B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34C326D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4A9A7DE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B3DE53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center"/>
                </w:tcPr>
                <w:p w14:paraId="0A7BA5B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发动机模式切换操作专业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99001B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2FFC4D7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0E4C90D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精通电控 / 机械机型待机切换流程，能规范完成负荷卸载、模式指令操作，可处置切换中转速波动等异常</w:t>
                  </w:r>
                </w:p>
              </w:tc>
            </w:tr>
            <w:tr w14:paraId="3C50B56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45199F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center"/>
                </w:tcPr>
                <w:p w14:paraId="0B8609E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待机状态监测辅助专业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135737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FAF83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center"/>
                </w:tcPr>
                <w:p w14:paraId="651685E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负责同步监测切换及待机期间核心参数，记录数据，协助检查辅助系统运行状态，及时反馈异常情况</w:t>
                  </w:r>
                </w:p>
              </w:tc>
            </w:tr>
          </w:tbl>
          <w:p w14:paraId="51768D5E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7B734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759C335A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7CF8555">
            <w:pPr>
              <w:pStyle w:val="16"/>
              <w:widowControl/>
              <w:numPr>
                <w:ilvl w:val="0"/>
                <w:numId w:val="10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先逐步卸载发动机负荷至空载，核查机油压力、水温等参数正常后，机械机型缓慢将调速手柄调至待机怠速档位，电控机型通过面板选择 “待机模式”。</w:t>
            </w:r>
          </w:p>
          <w:p w14:paraId="24277777">
            <w:pPr>
              <w:pStyle w:val="16"/>
              <w:widowControl/>
              <w:numPr>
                <w:ilvl w:val="0"/>
                <w:numId w:val="10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切换中监测转速，稳定后确认辅助系统启动。</w:t>
            </w:r>
          </w:p>
          <w:p w14:paraId="7BE334A4">
            <w:pPr>
              <w:pStyle w:val="16"/>
              <w:widowControl/>
              <w:numPr>
                <w:ilvl w:val="0"/>
                <w:numId w:val="10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待机期间定时巡检参数，退出时渐进提升转速至正常怠速。</w:t>
            </w:r>
          </w:p>
          <w:p w14:paraId="32439322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987040" cy="4275455"/>
                  <wp:effectExtent l="0" t="0" r="3810" b="10795"/>
                  <wp:docPr id="4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427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9D798A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7567E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06DC2026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4E6EC7E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2041929B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整理发动机操作全流程记录操作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46E86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4A4D69C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4BD765CC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0D828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51D4F45D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10</w:t>
            </w:r>
          </w:p>
        </w:tc>
        <w:tc>
          <w:tcPr>
            <w:tcW w:w="7088" w:type="dxa"/>
            <w:gridSpan w:val="2"/>
            <w:vAlign w:val="center"/>
          </w:tcPr>
          <w:p w14:paraId="559DDCA4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整理发动机操作全流程记录操作</w:t>
            </w:r>
          </w:p>
        </w:tc>
      </w:tr>
      <w:tr w14:paraId="35882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7118050D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088EEDDF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6AD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3C03D6F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0FC91C42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若发现数据缺失、矛盾或字迹模糊，需立即与操作人员核实补充，严禁擅自修改原始数据。</w:t>
            </w:r>
          </w:p>
        </w:tc>
      </w:tr>
      <w:tr w14:paraId="02D82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0E29BB7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553564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501EE4B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005E814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252ED8F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3312A24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4530142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31C247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44F107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E8C22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40F7D17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标准化记录表格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654618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含全操作环节、参数项、时间间隔及异常备注栏，A4规格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5A749E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1本（50页）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417C21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规范记录格式，确保信息完整可追溯</w:t>
                  </w:r>
                </w:p>
              </w:tc>
            </w:tr>
            <w:tr w14:paraId="7957FFD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C0760A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2D793E3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电子记录仪</w:t>
                  </w:r>
                </w:p>
              </w:tc>
              <w:tc>
                <w:tcPr>
                  <w:tcW w:w="2067" w:type="dxa"/>
                  <w:vAlign w:val="top"/>
                </w:tcPr>
                <w:p w14:paraId="57F56C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存储≥16GB，支持定时记录，可导出PDF/Excel，续航≥8小时</w:t>
                  </w:r>
                </w:p>
              </w:tc>
              <w:tc>
                <w:tcPr>
                  <w:tcW w:w="800" w:type="dxa"/>
                  <w:vAlign w:val="top"/>
                </w:tcPr>
                <w:p w14:paraId="1BBB6BF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6A8E4C7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辅助纸质记录，减少人工误差，便于数据备份</w:t>
                  </w:r>
                </w:p>
              </w:tc>
            </w:tr>
            <w:tr w14:paraId="202E5D6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09D356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10183CC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防水记录用笔</w:t>
                  </w:r>
                </w:p>
              </w:tc>
              <w:tc>
                <w:tcPr>
                  <w:tcW w:w="2067" w:type="dxa"/>
                  <w:vAlign w:val="top"/>
                </w:tcPr>
                <w:p w14:paraId="488902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不易褪色，适配潮湿操作环境</w:t>
                  </w:r>
                </w:p>
              </w:tc>
              <w:tc>
                <w:tcPr>
                  <w:tcW w:w="800" w:type="dxa"/>
                  <w:vAlign w:val="top"/>
                </w:tcPr>
                <w:p w14:paraId="746F80E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2支</w:t>
                  </w:r>
                </w:p>
              </w:tc>
              <w:tc>
                <w:tcPr>
                  <w:tcW w:w="3436" w:type="dxa"/>
                  <w:vAlign w:val="top"/>
                </w:tcPr>
                <w:p w14:paraId="509632F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确保纸质记录字迹清晰、长期留存</w:t>
                  </w:r>
                </w:p>
              </w:tc>
            </w:tr>
            <w:tr w14:paraId="2C3AC84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E2F1E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3F1115F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数据整理用电脑</w:t>
                  </w:r>
                </w:p>
              </w:tc>
              <w:tc>
                <w:tcPr>
                  <w:tcW w:w="2067" w:type="dxa"/>
                  <w:vAlign w:val="top"/>
                </w:tcPr>
                <w:p w14:paraId="4367ABD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CPU≥i5，内存≥8GB，含数据处理基础软件</w:t>
                  </w:r>
                </w:p>
              </w:tc>
              <w:tc>
                <w:tcPr>
                  <w:tcW w:w="800" w:type="dxa"/>
                  <w:vAlign w:val="top"/>
                </w:tcPr>
                <w:p w14:paraId="4F5AFEF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648604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用于数据汇总、校验及电子档案生成</w:t>
                  </w:r>
                </w:p>
              </w:tc>
            </w:tr>
            <w:tr w14:paraId="0AF7198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934466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3BE7990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档案存储柜</w:t>
                  </w:r>
                </w:p>
              </w:tc>
              <w:tc>
                <w:tcPr>
                  <w:tcW w:w="2067" w:type="dxa"/>
                  <w:vAlign w:val="top"/>
                </w:tcPr>
                <w:p w14:paraId="31943D9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防潮防蛀，带分区索引功能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10FAB4D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1组</w:t>
                  </w:r>
                </w:p>
              </w:tc>
              <w:tc>
                <w:tcPr>
                  <w:tcW w:w="3436" w:type="dxa"/>
                  <w:vAlign w:val="top"/>
                </w:tcPr>
                <w:p w14:paraId="5484184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存放纸质记录档案，保障存档安全</w:t>
                  </w:r>
                </w:p>
              </w:tc>
            </w:tr>
          </w:tbl>
          <w:p w14:paraId="35EE05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C443F9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53AA65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2D5B0F9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465D70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37EFF9A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0327C7A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B87DD4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B03DE5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781F5A7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1"/>
                      <w:szCs w:val="21"/>
                      <w:lang w:val="en-US" w:eastAsia="zh-CN" w:bidi="ar"/>
                    </w:rPr>
                    <w:t>发动机操作记录专业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02F766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6E35D85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780B1D0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精通全流程记录规范，能精准记录参数与操作，发现数据问题及时核实</w:t>
                  </w:r>
                </w:p>
              </w:tc>
            </w:tr>
            <w:tr w14:paraId="0C82B69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2072F1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126EF0A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1"/>
                      <w:szCs w:val="21"/>
                      <w:lang w:val="en-US" w:eastAsia="zh-CN" w:bidi="ar"/>
                    </w:rPr>
                    <w:t>数据整理归档专业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A67E51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FC2BEB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092663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负责整理记录数据、校验完整性，按规范归档纸质与电子档案，严禁擅自修改数据</w:t>
                  </w:r>
                </w:p>
              </w:tc>
            </w:tr>
          </w:tbl>
          <w:p w14:paraId="680F146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358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07A533A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6A50716F">
            <w:pPr>
              <w:pStyle w:val="16"/>
              <w:widowControl/>
              <w:numPr>
                <w:ilvl w:val="0"/>
                <w:numId w:val="11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操作前准备标准化表格与记录工具，前置记录发动机基础信息与环境条件。</w:t>
            </w:r>
          </w:p>
          <w:p w14:paraId="2445A10F">
            <w:pPr>
              <w:pStyle w:val="16"/>
              <w:widowControl/>
              <w:numPr>
                <w:ilvl w:val="0"/>
                <w:numId w:val="11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按预设间隔实时记录各环节操作动作与核心参数，详细标注异常情况。</w:t>
            </w:r>
          </w:p>
          <w:p w14:paraId="7C0C3DC7">
            <w:pPr>
              <w:pStyle w:val="16"/>
              <w:widowControl/>
              <w:numPr>
                <w:ilvl w:val="0"/>
                <w:numId w:val="11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操作完成后整理数据，若发现缺失、矛盾或字迹模糊，立即与操作人员核实补充，严禁擅自修改原始数据。</w:t>
            </w:r>
          </w:p>
          <w:p w14:paraId="2E16A789">
            <w:pPr>
              <w:pStyle w:val="16"/>
              <w:widowControl/>
              <w:numPr>
                <w:ilvl w:val="0"/>
                <w:numId w:val="11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最后分类汇总数据，按规范完成纸质与电子档案归档。</w:t>
            </w:r>
          </w:p>
          <w:p w14:paraId="1C4FB4EB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207260" cy="5366385"/>
                  <wp:effectExtent l="0" t="0" r="2540" b="5715"/>
                  <wp:docPr id="4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536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F9D131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1762B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2CE8918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7558D7E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40A110E">
      <w:pPr>
        <w:rPr>
          <w:rFonts w:hint="eastAsia"/>
          <w:lang w:val="en-US" w:eastAsia="zh-CN"/>
        </w:rPr>
      </w:pPr>
    </w:p>
    <w:p w14:paraId="5CA59601">
      <w:pPr>
        <w:pStyle w:val="4"/>
        <w:bidi w:val="0"/>
        <w:rPr>
          <w:rFonts w:hint="eastAsia"/>
          <w:lang w:val="en-US" w:eastAsia="zh-CN"/>
        </w:rPr>
      </w:pPr>
      <w:bookmarkStart w:id="18" w:name="_Toc30333"/>
      <w:r>
        <w:rPr>
          <w:rFonts w:hint="eastAsia"/>
          <w:lang w:val="en-US" w:eastAsia="zh-CN"/>
        </w:rPr>
        <w:t>4.2.2应急操作程序</w:t>
      </w:r>
      <w:bookmarkEnd w:id="18"/>
    </w:p>
    <w:p w14:paraId="2E088482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执行发动机紧急停机操作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4ADDA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5ECE813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49EC73CC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618F9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5F13AECD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11</w:t>
            </w:r>
          </w:p>
        </w:tc>
        <w:tc>
          <w:tcPr>
            <w:tcW w:w="7088" w:type="dxa"/>
            <w:gridSpan w:val="2"/>
            <w:vAlign w:val="center"/>
          </w:tcPr>
          <w:p w14:paraId="0F8AF8ED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执行发动机紧急停机操作</w:t>
            </w:r>
          </w:p>
        </w:tc>
      </w:tr>
      <w:tr w14:paraId="408C9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10C3EC02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3D3188D9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23CB0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0F2F42C6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2479006B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仅在出现致命故障（如油压骤降、机体起火、转速失控）或人身安全受威胁时使用，严禁误触紧急停机装置。</w:t>
            </w:r>
          </w:p>
        </w:tc>
      </w:tr>
      <w:tr w14:paraId="360CB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678556D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0239213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560D80F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7FD3CFC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6E95643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4CBFD1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04F5C5E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65428EC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5154E01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9ED2BF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3CF1ED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紧急停机按钮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09C1FB1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瞬时动作型，额定电流≥发动机工作电流，IP65防护，带锁定功能</w:t>
                  </w:r>
                </w:p>
              </w:tc>
              <w:tc>
                <w:tcPr>
                  <w:tcW w:w="800" w:type="dxa"/>
                  <w:vAlign w:val="top"/>
                </w:tcPr>
                <w:p w14:paraId="187076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4BFA63C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安装于操作区易触及处，标识清晰，定期校验功能</w:t>
                  </w:r>
                </w:p>
              </w:tc>
            </w:tr>
            <w:tr w14:paraId="2A5E9A1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2CA6F9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6E86CF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故障警示标识</w:t>
                  </w:r>
                </w:p>
              </w:tc>
              <w:tc>
                <w:tcPr>
                  <w:tcW w:w="2067" w:type="dxa"/>
                  <w:vAlign w:val="top"/>
                </w:tcPr>
                <w:p w14:paraId="19A098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反光材质，含“紧急停机，禁止启动”字样，A3规格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276A93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2块</w:t>
                  </w:r>
                </w:p>
              </w:tc>
              <w:tc>
                <w:tcPr>
                  <w:tcW w:w="3436" w:type="dxa"/>
                  <w:vAlign w:val="top"/>
                </w:tcPr>
                <w:p w14:paraId="2E2AEFD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停机后放置于发动机操作面板及周边显眼位置</w:t>
                  </w:r>
                </w:p>
              </w:tc>
            </w:tr>
            <w:tr w14:paraId="1F1EE4A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7D079D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3F2BDB3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应急照明设备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681255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强光手电筒，续航≥8小时，防水等级IPX4</w:t>
                  </w:r>
                </w:p>
              </w:tc>
              <w:tc>
                <w:tcPr>
                  <w:tcW w:w="800" w:type="dxa"/>
                  <w:vAlign w:val="top"/>
                </w:tcPr>
                <w:p w14:paraId="212A2C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1把</w:t>
                  </w:r>
                </w:p>
              </w:tc>
              <w:tc>
                <w:tcPr>
                  <w:tcW w:w="3436" w:type="dxa"/>
                  <w:vAlign w:val="top"/>
                </w:tcPr>
                <w:p w14:paraId="778631A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适配昏暗环境下的故障排查与现场处置</w:t>
                  </w:r>
                </w:p>
              </w:tc>
            </w:tr>
            <w:tr w14:paraId="3F7BFAA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224DFF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4457C75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紧急停机记录表格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37488CD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含停机时间、原因、工况、处置措施等栏目，A4规格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39F6BEB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1本（30页）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3EC25F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用于规范记录紧急停机全流程信息，便于追溯</w:t>
                  </w:r>
                </w:p>
              </w:tc>
            </w:tr>
            <w:tr w14:paraId="62DC85C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E4F783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63075F5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消防器材</w:t>
                  </w:r>
                </w:p>
              </w:tc>
              <w:tc>
                <w:tcPr>
                  <w:tcW w:w="2067" w:type="dxa"/>
                  <w:vAlign w:val="top"/>
                </w:tcPr>
                <w:p w14:paraId="0C9573A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干粉灭火器，规格2kg，压力正常，在有效期内</w:t>
                  </w:r>
                </w:p>
              </w:tc>
              <w:tc>
                <w:tcPr>
                  <w:tcW w:w="800" w:type="dxa"/>
                  <w:vAlign w:val="top"/>
                </w:tcPr>
                <w:p w14:paraId="08A3BDA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1组</w:t>
                  </w:r>
                </w:p>
              </w:tc>
              <w:tc>
                <w:tcPr>
                  <w:tcW w:w="3436" w:type="dxa"/>
                  <w:vAlign w:val="top"/>
                </w:tcPr>
                <w:p w14:paraId="4533B3F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应对发动机起火等极端紧急情况</w:t>
                  </w:r>
                </w:p>
              </w:tc>
            </w:tr>
          </w:tbl>
          <w:p w14:paraId="21D4B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026B523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073CEF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3902504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78A11C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7390DE3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3441318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44EEAD3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311F096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63AF74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发动机应急操作专业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42E711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6C1955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7AF8B3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精通紧急停机触发条件与操作流程，能快速处置停机后现场，排查初步故障</w:t>
                  </w:r>
                </w:p>
              </w:tc>
            </w:tr>
            <w:tr w14:paraId="5F0A479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76958E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7C02FE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应急现场辅助专业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041CD7F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701BC6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365B355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负责设置警示标识、协助记录信息、准备应急工具，配合故障排查与现场防护</w:t>
                  </w:r>
                </w:p>
              </w:tc>
            </w:tr>
          </w:tbl>
          <w:p w14:paraId="2A0846D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4660C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3ACE53B3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42846F95">
            <w:pPr>
              <w:pStyle w:val="16"/>
              <w:widowControl/>
              <w:numPr>
                <w:ilvl w:val="0"/>
                <w:numId w:val="1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确认满足紧急停机条件后，立即按下紧急停机按钮并保持1-2秒，确认发动机停转。</w:t>
            </w:r>
          </w:p>
          <w:p w14:paraId="03B498EF">
            <w:pPr>
              <w:pStyle w:val="16"/>
              <w:widowControl/>
              <w:numPr>
                <w:ilvl w:val="0"/>
                <w:numId w:val="1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迅速切断燃油、电源，设置警示标识。</w:t>
            </w:r>
          </w:p>
          <w:p w14:paraId="126B182C">
            <w:pPr>
              <w:pStyle w:val="16"/>
              <w:widowControl/>
              <w:numPr>
                <w:ilvl w:val="0"/>
                <w:numId w:val="12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排查故障原因并记录停机时间、触发原因等信息，未排除故障前严禁重启发动机。</w:t>
            </w:r>
          </w:p>
          <w:p w14:paraId="2F3C0C79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234565" cy="5161915"/>
                  <wp:effectExtent l="0" t="0" r="13335" b="635"/>
                  <wp:docPr id="4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5161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123ED6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6FB35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44591E4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4CBFC17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650EF4C1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13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执行发动机超温故障应急处理操作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03649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172FBD8B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0472A78F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5B61C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5A95C89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7088" w:type="dxa"/>
            <w:gridSpan w:val="2"/>
            <w:vAlign w:val="center"/>
          </w:tcPr>
          <w:p w14:paraId="0E2FC2BA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执行发动机超温故障应急处理操作</w:t>
            </w:r>
          </w:p>
        </w:tc>
      </w:tr>
      <w:tr w14:paraId="56EE3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1543EB11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2785DBE8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4258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56D0CEF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291AC35A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严禁带负荷直接停机。</w:t>
            </w:r>
          </w:p>
        </w:tc>
      </w:tr>
      <w:tr w14:paraId="25988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1A053A4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C439E9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3C45F3E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25C2635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2681688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2C6CCD1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7077C02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350E0F5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212EE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48D903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5A15CB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高精度测温仪</w:t>
                  </w:r>
                </w:p>
              </w:tc>
              <w:tc>
                <w:tcPr>
                  <w:tcW w:w="2067" w:type="dxa"/>
                  <w:vAlign w:val="top"/>
                </w:tcPr>
                <w:p w14:paraId="3260E6D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测量范围-20℃~800℃，精度±1℃，响应时间≤0.5秒</w:t>
                  </w:r>
                </w:p>
              </w:tc>
              <w:tc>
                <w:tcPr>
                  <w:tcW w:w="800" w:type="dxa"/>
                  <w:vAlign w:val="top"/>
                </w:tcPr>
                <w:p w14:paraId="555935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47D60F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精准核实发动机缸体、冷却液、机油温度，确认超温程度</w:t>
                  </w:r>
                </w:p>
              </w:tc>
            </w:tr>
            <w:tr w14:paraId="7C3AC53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D95AE1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1ED972A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应急冷却辅助装置</w:t>
                  </w:r>
                </w:p>
              </w:tc>
              <w:tc>
                <w:tcPr>
                  <w:tcW w:w="2067" w:type="dxa"/>
                  <w:vAlign w:val="top"/>
                </w:tcPr>
                <w:p w14:paraId="4F86B88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便携式冷却风扇/备用冷却泵，适配发动机冷却系统接口</w:t>
                  </w:r>
                </w:p>
              </w:tc>
              <w:tc>
                <w:tcPr>
                  <w:tcW w:w="800" w:type="dxa"/>
                  <w:vAlign w:val="top"/>
                </w:tcPr>
                <w:p w14:paraId="768A2D0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1EB84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主冷却系统故障时，临时增强冷却效果，缓解超温趋势</w:t>
                  </w:r>
                </w:p>
              </w:tc>
            </w:tr>
            <w:tr w14:paraId="54812A7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EC67B6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425B97E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冷却系统检测工具包</w:t>
                  </w:r>
                </w:p>
              </w:tc>
              <w:tc>
                <w:tcPr>
                  <w:tcW w:w="2067" w:type="dxa"/>
                  <w:vAlign w:val="top"/>
                </w:tcPr>
                <w:p w14:paraId="188CF41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含压力表、泄漏检测仪、散热器清理工具，适配常用发动机型号</w:t>
                  </w:r>
                </w:p>
              </w:tc>
              <w:tc>
                <w:tcPr>
                  <w:tcW w:w="800" w:type="dxa"/>
                  <w:vAlign w:val="top"/>
                </w:tcPr>
                <w:p w14:paraId="7B00C36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492D962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快速排查冷却液泄漏、散热器堵塞、水泵故障等核心问题</w:t>
                  </w:r>
                </w:p>
              </w:tc>
            </w:tr>
            <w:tr w14:paraId="38BA29F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550415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  <w:p w14:paraId="22C6723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500" w:type="dxa"/>
                  <w:vAlign w:val="top"/>
                </w:tcPr>
                <w:p w14:paraId="66D12A5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应急通讯设备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0109A9B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对讲机，有效通讯距离≥500米，待机时间≥24小时</w:t>
                  </w:r>
                </w:p>
              </w:tc>
              <w:tc>
                <w:tcPr>
                  <w:tcW w:w="800" w:type="dxa"/>
                  <w:vAlign w:val="top"/>
                </w:tcPr>
                <w:p w14:paraId="06B7CFD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1对</w:t>
                  </w:r>
                </w:p>
              </w:tc>
              <w:tc>
                <w:tcPr>
                  <w:tcW w:w="3436" w:type="dxa"/>
                  <w:vAlign w:val="top"/>
                </w:tcPr>
                <w:p w14:paraId="5590FFE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超温处置过程中，与负荷控制、维修团队快速联动，协同操作</w:t>
                  </w:r>
                </w:p>
              </w:tc>
            </w:tr>
            <w:tr w14:paraId="2D3A66D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1DEA04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3123B6B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6A4EC24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瞬时动作型，额定电流≥发动机工作电流，IP65防护等级</w:t>
                  </w:r>
                </w:p>
              </w:tc>
              <w:tc>
                <w:tcPr>
                  <w:tcW w:w="800" w:type="dxa"/>
                  <w:vAlign w:val="top"/>
                </w:tcPr>
                <w:p w14:paraId="3AF392A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7F9C171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超温持续加剧时，快速执行紧急停机，避免部件严重损坏</w:t>
                  </w:r>
                </w:p>
              </w:tc>
            </w:tr>
            <w:tr w14:paraId="4EAD09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7F4A19C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2BF6C43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超温故障应急记录表格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22A740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含超温时间、参数、处置步骤、故障原因等栏目，A4规格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694A933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1本（30页）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2CCCE67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规范记录应急处置全流程信息，便于后续故障追溯分析</w:t>
                  </w:r>
                </w:p>
              </w:tc>
            </w:tr>
          </w:tbl>
          <w:p w14:paraId="5941A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ED3D7E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4976E4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6C502E9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513AB4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48D0D3F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7D304E7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6CB109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754EE1E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6046086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发动机应急处置专业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4B22AF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49222E5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185853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精通超温故障处置流程，能规范完成负荷卸载、冷却系统排查、紧急停机操作，判断故障根源</w:t>
                  </w:r>
                </w:p>
              </w:tc>
            </w:tr>
            <w:tr w14:paraId="31D4F0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B6920C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735DEF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应急辅助监测专业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AD6EBC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16AC180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5CF9944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负责实时监测温度变化、记录处置数据，协助操作应急冷却装置、设置警示标识，反馈异常情况</w:t>
                  </w:r>
                </w:p>
              </w:tc>
            </w:tr>
          </w:tbl>
          <w:p w14:paraId="56A2FFD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3673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10B86F47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622A7AA">
            <w:pPr>
              <w:pStyle w:val="16"/>
              <w:widowControl/>
              <w:numPr>
                <w:ilvl w:val="0"/>
                <w:numId w:val="1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发现超温报警后，立即核对温度数据确认故障。</w:t>
            </w:r>
          </w:p>
          <w:p w14:paraId="735EE1A6">
            <w:pPr>
              <w:pStyle w:val="16"/>
              <w:widowControl/>
              <w:numPr>
                <w:ilvl w:val="0"/>
                <w:numId w:val="1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逐步卸载负荷至空载，开启冷却系统最大冷却模式。</w:t>
            </w:r>
          </w:p>
          <w:p w14:paraId="7CDF9626">
            <w:pPr>
              <w:pStyle w:val="16"/>
              <w:widowControl/>
              <w:numPr>
                <w:ilvl w:val="0"/>
                <w:numId w:val="1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用检测工具排查冷却系统故障，若超温持续加剧，立即执行紧急停机。</w:t>
            </w:r>
          </w:p>
          <w:p w14:paraId="0636A970">
            <w:pPr>
              <w:pStyle w:val="16"/>
              <w:widowControl/>
              <w:numPr>
                <w:ilvl w:val="0"/>
                <w:numId w:val="13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停机后记录处置信息，待发动机降温后再深入检修，严禁盲目加注冷水。</w:t>
            </w:r>
          </w:p>
          <w:p w14:paraId="4E7455C7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585720" cy="4654550"/>
                  <wp:effectExtent l="0" t="0" r="5080" b="12700"/>
                  <wp:docPr id="49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5720" cy="465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1ABA1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3D225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2296D21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3828066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451214C8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  <w:t>执行发动机油压低应急处置操作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776BA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2662A39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7E0520F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6BAAF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20B60E06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7088" w:type="dxa"/>
            <w:gridSpan w:val="2"/>
            <w:vAlign w:val="center"/>
          </w:tcPr>
          <w:p w14:paraId="1B0D28A7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执行发动机油压低应急处置操作</w:t>
            </w:r>
          </w:p>
        </w:tc>
      </w:tr>
      <w:tr w14:paraId="696E0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14A6FDF9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6212E971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6881A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092219F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4B4E1CB8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不得随意拆卸机油管路或放油螺栓，防止机油喷溅引发安全事故。</w:t>
            </w:r>
          </w:p>
        </w:tc>
      </w:tr>
      <w:tr w14:paraId="01276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6575B09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4215E62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4800B99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118F68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4513EB4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5FC1468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6FABED5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308A852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3A2CCD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B16104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4084D88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高精度机油压力表</w:t>
                  </w:r>
                </w:p>
              </w:tc>
              <w:tc>
                <w:tcPr>
                  <w:tcW w:w="2067" w:type="dxa"/>
                  <w:vAlign w:val="top"/>
                </w:tcPr>
                <w:p w14:paraId="58E7DC7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测量范围0-1.6MPa，精度±0.01MPa，支持现场校验</w:t>
                  </w:r>
                </w:p>
              </w:tc>
              <w:tc>
                <w:tcPr>
                  <w:tcW w:w="800" w:type="dxa"/>
                  <w:vAlign w:val="top"/>
                </w:tcPr>
                <w:p w14:paraId="2BA4FFA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11EE812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精准核实机油压力数值，排除原车仪表故障误报问题</w:t>
                  </w:r>
                </w:p>
              </w:tc>
            </w:tr>
            <w:tr w14:paraId="2682D6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77E730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  <w:p w14:paraId="12EB0FB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1500" w:type="dxa"/>
                  <w:vAlign w:val="top"/>
                </w:tcPr>
                <w:p w14:paraId="7DE20E9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应急机油补充套装</w:t>
                  </w:r>
                </w:p>
              </w:tc>
              <w:tc>
                <w:tcPr>
                  <w:tcW w:w="2067" w:type="dxa"/>
                  <w:vAlign w:val="top"/>
                </w:tcPr>
                <w:p w14:paraId="2653892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含同型号专用机油（10L/桶）、加油壶、漏斗，密封性能良好</w:t>
                  </w:r>
                </w:p>
              </w:tc>
              <w:tc>
                <w:tcPr>
                  <w:tcW w:w="800" w:type="dxa"/>
                  <w:vAlign w:val="top"/>
                </w:tcPr>
                <w:p w14:paraId="6042F37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47828D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确认无泄漏时，可快速补充机油，临时缓解油压低问题</w:t>
                  </w:r>
                </w:p>
              </w:tc>
            </w:tr>
            <w:tr w14:paraId="5EF98CC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C0E101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4FA122D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机油泄漏检测工具</w:t>
                  </w:r>
                </w:p>
              </w:tc>
              <w:tc>
                <w:tcPr>
                  <w:tcW w:w="2067" w:type="dxa"/>
                  <w:vAlign w:val="top"/>
                </w:tcPr>
                <w:p w14:paraId="637356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含荧光剂、紫外线灯、听诊器，适配发动机各管路接口</w:t>
                  </w:r>
                </w:p>
              </w:tc>
              <w:tc>
                <w:tcPr>
                  <w:tcW w:w="800" w:type="dxa"/>
                  <w:vAlign w:val="top"/>
                </w:tcPr>
                <w:p w14:paraId="6919F15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6BBF7C3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快速定位机油泄漏点（如管路破损、油封老化）或判断油泵故障</w:t>
                  </w:r>
                </w:p>
              </w:tc>
            </w:tr>
            <w:tr w14:paraId="5AB4C11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C9345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7EA2EDB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紧急停机按钮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0F7DE5A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瞬时动作型，额定电流≥发动机工作电流，IP65防护等级</w:t>
                  </w:r>
                </w:p>
              </w:tc>
              <w:tc>
                <w:tcPr>
                  <w:tcW w:w="800" w:type="dxa"/>
                  <w:vAlign w:val="top"/>
                </w:tcPr>
                <w:p w14:paraId="25B53DD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25106F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油压持续偏低或出现金属异响时，快速执行紧急停机，避免部件损坏</w:t>
                  </w:r>
                </w:p>
              </w:tc>
            </w:tr>
            <w:tr w14:paraId="71FFD9B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C5AECE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3E9177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油压低应急处置记录表格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6F43A6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含故障时间、油压数值、处置步骤、故障迹象等栏目，A4规格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0A3AEBE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1本（30页）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7C47E65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规范记录应急处置全流程信息，便于后续故障追溯与分析</w:t>
                  </w:r>
                </w:p>
              </w:tc>
            </w:tr>
          </w:tbl>
          <w:p w14:paraId="68C7C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5A833F7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D68CEC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5A0CE7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8B2DE3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10FEEAD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01CA51B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0D52899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EBBB8A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517040B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发动机应急运维专业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AF2673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647F2B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691219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精通油压低故障处置流程，能规范完成负荷卸载、故障排查、紧急停机操作，判断故障根源（泄漏/油泵故障等）</w:t>
                  </w:r>
                </w:p>
              </w:tc>
            </w:tr>
            <w:tr w14:paraId="3A8933C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C567A5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51B8D15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应急监测辅助专业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C4823E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1937F7E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5E5665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负责实时监测油压变化、记录处置数据，协助操作检测工具、补充机油，发现异常（如泄漏、异响）立即反馈</w:t>
                  </w:r>
                </w:p>
              </w:tc>
            </w:tr>
          </w:tbl>
          <w:p w14:paraId="46AFDFA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1B8E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605A675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6E23293">
            <w:pPr>
              <w:pStyle w:val="16"/>
              <w:widowControl/>
              <w:numPr>
                <w:ilvl w:val="0"/>
                <w:numId w:val="1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发现油压低报警后，立即核对油压数据并结合异响、泄漏痕迹确认故障。</w:t>
            </w:r>
          </w:p>
          <w:p w14:paraId="0C487DCE">
            <w:pPr>
              <w:pStyle w:val="16"/>
              <w:widowControl/>
              <w:numPr>
                <w:ilvl w:val="0"/>
                <w:numId w:val="1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迅速卸载负荷至空载怠速，严禁强行作业。</w:t>
            </w:r>
          </w:p>
          <w:p w14:paraId="57A7741D">
            <w:pPr>
              <w:pStyle w:val="16"/>
              <w:widowControl/>
              <w:numPr>
                <w:ilvl w:val="0"/>
                <w:numId w:val="1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用检测工具排查泄漏或油泵故障，必要时补充同型号机油。</w:t>
            </w:r>
          </w:p>
          <w:p w14:paraId="4B0D7D5A">
            <w:pPr>
              <w:pStyle w:val="16"/>
              <w:widowControl/>
              <w:numPr>
                <w:ilvl w:val="0"/>
                <w:numId w:val="14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若油压仍偏低或出现金属异响，立即紧急停机，记录处置信息后待检修，禁止频繁启动。</w:t>
            </w:r>
          </w:p>
          <w:p w14:paraId="2EC2CBE9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595245" cy="6744970"/>
                  <wp:effectExtent l="0" t="0" r="14605" b="17780"/>
                  <wp:docPr id="51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674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F91246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261EC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4C0D0F4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500E9D5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1D1298DF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执行发动机异常振动应急处理操作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178AB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6694B4CE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29A8D0E8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7B6DD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0005B504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7088" w:type="dxa"/>
            <w:gridSpan w:val="2"/>
            <w:vAlign w:val="center"/>
          </w:tcPr>
          <w:p w14:paraId="0C75F3E4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执行发动机异常振动应急处理操作</w:t>
            </w:r>
          </w:p>
        </w:tc>
      </w:tr>
      <w:tr w14:paraId="0468E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40910A37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17AC4391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588B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3893140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5B12648F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不得随意拆卸机油管路或放油螺栓，防止机油喷溅引发安全事故。</w:t>
            </w:r>
          </w:p>
        </w:tc>
      </w:tr>
      <w:tr w14:paraId="4E120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7924802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3A114C0D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495A2AE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5D990C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46443C9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99C9D9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3329E8F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51D5BB2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8DB385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214B5B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67BFC4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便携式振动检测仪</w:t>
                  </w:r>
                </w:p>
              </w:tc>
              <w:tc>
                <w:tcPr>
                  <w:tcW w:w="2067" w:type="dxa"/>
                  <w:vAlign w:val="top"/>
                </w:tcPr>
                <w:p w14:paraId="365C25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测量范围0.1-100mm/s，精度±5%，支持多部位数据对比</w:t>
                  </w:r>
                </w:p>
              </w:tc>
              <w:tc>
                <w:tcPr>
                  <w:tcW w:w="800" w:type="dxa"/>
                  <w:vAlign w:val="top"/>
                </w:tcPr>
                <w:p w14:paraId="525621A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1台</w:t>
                  </w:r>
                </w:p>
              </w:tc>
              <w:tc>
                <w:tcPr>
                  <w:tcW w:w="3436" w:type="dxa"/>
                  <w:vAlign w:val="top"/>
                </w:tcPr>
                <w:p w14:paraId="73138DF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精准测量振动幅度，定位振动核心部位，辅助判断故障严重程度</w:t>
                  </w:r>
                </w:p>
              </w:tc>
            </w:tr>
            <w:tr w14:paraId="027BC0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3897E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49BDE7A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故障警示标识</w:t>
                  </w:r>
                </w:p>
              </w:tc>
              <w:tc>
                <w:tcPr>
                  <w:tcW w:w="2067" w:type="dxa"/>
                  <w:vAlign w:val="top"/>
                </w:tcPr>
                <w:p w14:paraId="3DAC1EF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反光材质，含“异常振动，禁止靠近”字样，A3规格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4038CD6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2块</w:t>
                  </w:r>
                </w:p>
              </w:tc>
              <w:tc>
                <w:tcPr>
                  <w:tcW w:w="3436" w:type="dxa"/>
                  <w:vAlign w:val="top"/>
                </w:tcPr>
                <w:p w14:paraId="77FC79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放置于发动机周边显眼位置，划定警戒区域，防止无关人员进入</w:t>
                  </w:r>
                </w:p>
              </w:tc>
            </w:tr>
            <w:tr w14:paraId="31E97DC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0BA1F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758B155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专业听诊器</w:t>
                  </w:r>
                </w:p>
              </w:tc>
              <w:tc>
                <w:tcPr>
                  <w:tcW w:w="2067" w:type="dxa"/>
                  <w:vAlign w:val="top"/>
                </w:tcPr>
                <w:p w14:paraId="206D51E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适配发动机金属部件，拾音清晰，可区分不同异响类型</w:t>
                  </w:r>
                </w:p>
              </w:tc>
              <w:tc>
                <w:tcPr>
                  <w:tcW w:w="800" w:type="dxa"/>
                  <w:vAlign w:val="top"/>
                </w:tcPr>
                <w:p w14:paraId="2397ECB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6475033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辅助排查振动伴随的异响来源，判断轴承、齿轮等部件故障</w:t>
                  </w:r>
                </w:p>
              </w:tc>
            </w:tr>
            <w:tr w14:paraId="57B8DEF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69A2EE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5E693E1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应急通讯设备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39D4648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对讲机，有效通讯距离≥500米，待机时间≥24小时</w:t>
                  </w:r>
                </w:p>
              </w:tc>
              <w:tc>
                <w:tcPr>
                  <w:tcW w:w="800" w:type="dxa"/>
                  <w:vAlign w:val="top"/>
                </w:tcPr>
                <w:p w14:paraId="6DA1155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1对</w:t>
                  </w:r>
                </w:p>
              </w:tc>
              <w:tc>
                <w:tcPr>
                  <w:tcW w:w="3436" w:type="dxa"/>
                  <w:vAlign w:val="top"/>
                </w:tcPr>
                <w:p w14:paraId="3129598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处置过程中与负荷控制、维修团队联动，避免单人操作遗漏风险</w:t>
                  </w:r>
                </w:p>
              </w:tc>
            </w:tr>
            <w:tr w14:paraId="6E121F2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A0CE2F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6CAF115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紧急停机按钮</w:t>
                  </w:r>
                </w:p>
              </w:tc>
              <w:tc>
                <w:tcPr>
                  <w:tcW w:w="2067" w:type="dxa"/>
                  <w:vAlign w:val="top"/>
                </w:tcPr>
                <w:p w14:paraId="367DD12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瞬时动作型，额定电流≥发动机工作电流，IP65防护等级</w:t>
                  </w:r>
                </w:p>
              </w:tc>
              <w:tc>
                <w:tcPr>
                  <w:tcW w:w="800" w:type="dxa"/>
                  <w:vAlign w:val="top"/>
                </w:tcPr>
                <w:p w14:paraId="54BB642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1个</w:t>
                  </w:r>
                </w:p>
              </w:tc>
              <w:tc>
                <w:tcPr>
                  <w:tcW w:w="3436" w:type="dxa"/>
                  <w:vAlign w:val="top"/>
                </w:tcPr>
                <w:p w14:paraId="0846A00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振动加剧或出现部件脱落风险时，快速执行紧急停机，避免事故扩大</w:t>
                  </w:r>
                </w:p>
              </w:tc>
            </w:tr>
            <w:tr w14:paraId="33B5A03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0A586F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5B59801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异常振动应急记录表格</w:t>
                  </w:r>
                </w:p>
              </w:tc>
              <w:tc>
                <w:tcPr>
                  <w:tcW w:w="2067" w:type="dxa"/>
                  <w:vAlign w:val="top"/>
                </w:tcPr>
                <w:p w14:paraId="645FAA8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含振动发生时间、转速/负荷、部位、处置步骤等栏目，A4规格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14553F0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1本（30页）</w:t>
                  </w:r>
                </w:p>
              </w:tc>
              <w:tc>
                <w:tcPr>
                  <w:tcW w:w="3436" w:type="dxa"/>
                  <w:vAlign w:val="top"/>
                </w:tcPr>
                <w:p w14:paraId="5E4C156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规范记录处置全流程信息，便于后续故障追溯与根源分析</w:t>
                  </w:r>
                </w:p>
              </w:tc>
            </w:tr>
          </w:tbl>
          <w:p w14:paraId="709E4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D394E4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16796E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6CFB6B2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7739272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2C905D8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0D4F838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6A581FE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6CB6CDD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4D29A40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发动机应急处置专业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7969198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09EF7E3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00DEBBC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精通异常振动故障处置流程，能规范完成负荷卸载、故障排查、紧急停机操作，精准定位振动根源</w:t>
                  </w:r>
                </w:p>
              </w:tc>
            </w:tr>
            <w:tr w14:paraId="465EEB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FF5947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1941741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应急安全监测专业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CB1BB3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3B9C6F1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65F7D60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负责设置警戒区域、实时监测振动变化与异响，记录处置数据，协助传递信息，防范安全风险</w:t>
                  </w:r>
                </w:p>
              </w:tc>
            </w:tr>
          </w:tbl>
          <w:p w14:paraId="4C82C931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31139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008CFE7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2D740A00">
            <w:pPr>
              <w:pStyle w:val="16"/>
              <w:widowControl/>
              <w:numPr>
                <w:ilvl w:val="0"/>
                <w:numId w:val="1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发现异常振动后，立即远离危险区域并设置警戒标识，逐步卸载负荷至空载怠速。</w:t>
            </w:r>
          </w:p>
          <w:p w14:paraId="434CF980">
            <w:pPr>
              <w:pStyle w:val="16"/>
              <w:widowControl/>
              <w:numPr>
                <w:ilvl w:val="0"/>
                <w:numId w:val="1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用振动检测仪和听诊器排查振动部位与根源，若振动加剧或伴随部件脱落风险，立即紧急停机。</w:t>
            </w:r>
          </w:p>
          <w:p w14:paraId="1B7A6B56">
            <w:pPr>
              <w:pStyle w:val="16"/>
              <w:widowControl/>
              <w:numPr>
                <w:ilvl w:val="0"/>
                <w:numId w:val="15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记录处置信息，待设备停稳后再深入检修，严禁盲目拆解。</w:t>
            </w:r>
          </w:p>
          <w:p w14:paraId="09C920D3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272665" cy="4316095"/>
                  <wp:effectExtent l="0" t="0" r="13335" b="8255"/>
                  <wp:docPr id="5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665" cy="4316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B163C6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2CC9E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2DB3B7E0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12AE422B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7AE5DAFE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16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执行发动机燃油泄漏应急封堵操作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6DDC3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384" w:type="dxa"/>
            <w:vAlign w:val="center"/>
          </w:tcPr>
          <w:p w14:paraId="1BDD46E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68E94ED5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511E0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2B27FB38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7088" w:type="dxa"/>
            <w:gridSpan w:val="2"/>
            <w:vAlign w:val="center"/>
          </w:tcPr>
          <w:p w14:paraId="66DFB496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执行发动机燃油泄漏应急封堵操作</w:t>
            </w:r>
          </w:p>
        </w:tc>
      </w:tr>
      <w:tr w14:paraId="37FF5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761FA4FB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348F6492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2E8BD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6745B95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4012C404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不得使用易产生火花的金属工具敲击泄漏部位。</w:t>
            </w:r>
          </w:p>
        </w:tc>
      </w:tr>
      <w:tr w14:paraId="2D7D8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30ADDBB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38FCE74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2BEF13C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50D0118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35FD334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D68378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5A070C9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6EE2BAC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DE584F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A9F16B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11CD972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专用燃油封堵工具套装</w:t>
                  </w:r>
                </w:p>
              </w:tc>
              <w:tc>
                <w:tcPr>
                  <w:tcW w:w="2067" w:type="dxa"/>
                  <w:vAlign w:val="top"/>
                </w:tcPr>
                <w:p w14:paraId="54054C9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含高压堵漏胶、防爆堵漏夹、快速接头堵帽、柔性密封带，适配多种管路规格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27E0394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01D4272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用于不同部位、不同泄漏量的应急封堵，适配柴油/汽油/燃气泄漏场景</w:t>
                  </w:r>
                </w:p>
              </w:tc>
            </w:tr>
            <w:tr w14:paraId="1AC21B8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230B79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2CDEFB8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防静电防护装备</w:t>
                  </w:r>
                </w:p>
              </w:tc>
              <w:tc>
                <w:tcPr>
                  <w:tcW w:w="2067" w:type="dxa"/>
                  <w:vAlign w:val="top"/>
                </w:tcPr>
                <w:p w14:paraId="73398CC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防静电服、防化手套、护目镜、防毒面具（适配燃油蒸气）</w:t>
                  </w:r>
                </w:p>
              </w:tc>
              <w:tc>
                <w:tcPr>
                  <w:tcW w:w="800" w:type="dxa"/>
                  <w:vAlign w:val="top"/>
                </w:tcPr>
                <w:p w14:paraId="197073D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55C2803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保障操作人员人身安全，防止静电引发火灾爆炸</w:t>
                  </w:r>
                </w:p>
              </w:tc>
            </w:tr>
            <w:tr w14:paraId="3144555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A07886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1E2806E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sz w:val="20"/>
                      <w:szCs w:val="20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消防应急器材</w:t>
                  </w:r>
                </w:p>
                <w:p w14:paraId="4ECE0DF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</w:p>
              </w:tc>
              <w:tc>
                <w:tcPr>
                  <w:tcW w:w="2067" w:type="dxa"/>
                  <w:vAlign w:val="top"/>
                </w:tcPr>
                <w:p w14:paraId="6EAB4EE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干粉灭火器（2kg）、灭火毯（1.5m×1.5m），在有效期内</w:t>
                  </w:r>
                </w:p>
              </w:tc>
              <w:tc>
                <w:tcPr>
                  <w:tcW w:w="800" w:type="dxa"/>
                  <w:vAlign w:val="top"/>
                </w:tcPr>
                <w:p w14:paraId="428B77A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1组</w:t>
                  </w:r>
                </w:p>
              </w:tc>
              <w:tc>
                <w:tcPr>
                  <w:tcW w:w="3436" w:type="dxa"/>
                  <w:vAlign w:val="top"/>
                </w:tcPr>
                <w:p w14:paraId="40091E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应对可能发生的火灾风险，放置于泄漏处置现场易取用位置</w:t>
                  </w:r>
                </w:p>
              </w:tc>
            </w:tr>
            <w:tr w14:paraId="5440A95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ED636F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74CF1A8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油污处理工具</w:t>
                  </w:r>
                </w:p>
              </w:tc>
              <w:tc>
                <w:tcPr>
                  <w:tcW w:w="2067" w:type="dxa"/>
                  <w:vAlign w:val="top"/>
                </w:tcPr>
                <w:p w14:paraId="125037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吸油棉（10片/包）、防爆油桶（20L）、专用油污清洁剂</w:t>
                  </w:r>
                </w:p>
              </w:tc>
              <w:tc>
                <w:tcPr>
                  <w:tcW w:w="800" w:type="dxa"/>
                  <w:vAlign w:val="top"/>
                </w:tcPr>
                <w:p w14:paraId="5AB623A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2C08154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用于吸附泄漏燃油、收集废油，避免油污扩散污染环境</w:t>
                  </w:r>
                </w:p>
              </w:tc>
            </w:tr>
            <w:tr w14:paraId="221E0C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8B2954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62B9FA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警戒标识与隔离带</w:t>
                  </w:r>
                </w:p>
              </w:tc>
              <w:tc>
                <w:tcPr>
                  <w:tcW w:w="2067" w:type="dxa"/>
                  <w:vAlign w:val="top"/>
                </w:tcPr>
                <w:p w14:paraId="4723D7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反光警戒牌（A3规格）、隔离带（50m），标识清晰</w:t>
                  </w:r>
                </w:p>
              </w:tc>
              <w:tc>
                <w:tcPr>
                  <w:tcW w:w="800" w:type="dxa"/>
                  <w:vAlign w:val="top"/>
                </w:tcPr>
                <w:p w14:paraId="124E904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5E6DCC3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划定危险区域，禁止无关人员进入，防范二次风险</w:t>
                  </w:r>
                </w:p>
              </w:tc>
            </w:tr>
            <w:tr w14:paraId="4930ED8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06A954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354B33B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应急通讯设备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55BE7CC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防爆对讲机，有效通讯距离≥500米，适配易燃易爆环境</w:t>
                  </w:r>
                </w:p>
              </w:tc>
              <w:tc>
                <w:tcPr>
                  <w:tcW w:w="800" w:type="dxa"/>
                  <w:vAlign w:val="top"/>
                </w:tcPr>
                <w:p w14:paraId="261BF1E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1对</w:t>
                  </w:r>
                </w:p>
              </w:tc>
              <w:tc>
                <w:tcPr>
                  <w:tcW w:w="3436" w:type="dxa"/>
                  <w:vAlign w:val="top"/>
                </w:tcPr>
                <w:p w14:paraId="7089FED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处置过程中实现安全通讯，避免现场呼喊引发气流扰动</w:t>
                  </w:r>
                </w:p>
              </w:tc>
            </w:tr>
          </w:tbl>
          <w:p w14:paraId="44FC4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3C16C9F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4AE2877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42F6E85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71B5C4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4CDBBBC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6FD6560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39B5E35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5E99223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357874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发动机应急封堵专业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5A610C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5298D2C8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6E831C7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精通燃油泄漏封堵流程，能精准判断泄漏类型并选择适配工具操作，具备应急处置能力</w:t>
                  </w:r>
                </w:p>
              </w:tc>
            </w:tr>
            <w:tr w14:paraId="6685C39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2DF66C9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381B34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应急安全防护专业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85EA9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1189BD1F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1C55E29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负责设置警戒区域、管控现场火源静电，协助穿戴防护装备、准备消防器材，监测现场安全状况</w:t>
                  </w:r>
                </w:p>
              </w:tc>
            </w:tr>
          </w:tbl>
          <w:p w14:paraId="7E826A5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2CA25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4AA41AF3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790509B7">
            <w:pPr>
              <w:pStyle w:val="16"/>
              <w:widowControl/>
              <w:numPr>
                <w:ilvl w:val="0"/>
                <w:numId w:val="1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发现燃油泄漏后，立即停机并切断燃油供给与总电源，严禁明火和静电。</w:t>
            </w:r>
          </w:p>
          <w:p w14:paraId="5CD6C88B">
            <w:pPr>
              <w:pStyle w:val="16"/>
              <w:widowControl/>
              <w:numPr>
                <w:ilvl w:val="0"/>
                <w:numId w:val="1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穿戴防静电防护装备，设置警戒区域。</w:t>
            </w:r>
          </w:p>
          <w:p w14:paraId="05D4AEF9">
            <w:pPr>
              <w:pStyle w:val="16"/>
              <w:widowControl/>
              <w:numPr>
                <w:ilvl w:val="0"/>
                <w:numId w:val="1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观察泄漏部位与量，关闭上游阀门控漏，用专用工具封堵。</w:t>
            </w:r>
          </w:p>
          <w:p w14:paraId="0899165C">
            <w:pPr>
              <w:pStyle w:val="16"/>
              <w:widowControl/>
              <w:numPr>
                <w:ilvl w:val="0"/>
                <w:numId w:val="16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封堵后监测无复漏，用吸油棉清理油污，记录处置信息，待专业检修。</w:t>
            </w:r>
          </w:p>
          <w:p w14:paraId="26CA1603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932430" cy="4864735"/>
                  <wp:effectExtent l="0" t="0" r="1270" b="12065"/>
                  <wp:docPr id="5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430" cy="486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69E829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6634E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1ABDA76F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444C89C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004201F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17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执行发动机电气故障应急切换操作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7E048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138A2E86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5271FACE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36CCC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48F85E88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7088" w:type="dxa"/>
            <w:gridSpan w:val="2"/>
            <w:vAlign w:val="center"/>
          </w:tcPr>
          <w:p w14:paraId="5FC0139F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执行发动机电气故障应急切换操作</w:t>
            </w:r>
          </w:p>
        </w:tc>
      </w:tr>
      <w:tr w14:paraId="04559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743097B7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263AFF07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0A15B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15873E5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690E546E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若切换失败，立即停止操作，启动紧急停机或其他应急预案。</w:t>
            </w:r>
          </w:p>
        </w:tc>
      </w:tr>
      <w:tr w14:paraId="7A88F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78A3BC4D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32A7DFC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4FA00EE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2C5560A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3780B47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2F05D1C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53C04F3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1BDAB04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765AB97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C44863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0702A16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绝缘防护装备</w:t>
                  </w:r>
                </w:p>
              </w:tc>
              <w:tc>
                <w:tcPr>
                  <w:tcW w:w="2067" w:type="dxa"/>
                  <w:vAlign w:val="top"/>
                </w:tcPr>
                <w:p w14:paraId="3A14B643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绝缘手套（耐压≥1000V）、绝缘鞋、绝缘钳、验电笔（量程适配发动机电气系统）</w:t>
                  </w:r>
                </w:p>
              </w:tc>
              <w:tc>
                <w:tcPr>
                  <w:tcW w:w="800" w:type="dxa"/>
                  <w:vAlign w:val="top"/>
                </w:tcPr>
                <w:p w14:paraId="7137BE3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09209ED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保障操作人员在断电、接线过程中避免触电风险</w:t>
                  </w:r>
                </w:p>
              </w:tc>
            </w:tr>
            <w:tr w14:paraId="31D51B5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C981C4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0C05E09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备用电气模块/部件</w:t>
                  </w:r>
                </w:p>
              </w:tc>
              <w:tc>
                <w:tcPr>
                  <w:tcW w:w="2067" w:type="dxa"/>
                  <w:vAlign w:val="top"/>
                </w:tcPr>
                <w:p w14:paraId="4DE19D7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含备用电源、应急控制器、常用传感器，适配发动机型号</w:t>
                  </w:r>
                </w:p>
              </w:tc>
              <w:tc>
                <w:tcPr>
                  <w:tcW w:w="800" w:type="dxa"/>
                  <w:vAlign w:val="top"/>
                </w:tcPr>
                <w:p w14:paraId="0A8E9D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955345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用于快速替换故障电气部件，实现应急切换</w:t>
                  </w:r>
                </w:p>
              </w:tc>
            </w:tr>
            <w:tr w14:paraId="4C9E11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7F19EC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5DE183C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电气检测工具</w:t>
                  </w:r>
                </w:p>
              </w:tc>
              <w:tc>
                <w:tcPr>
                  <w:tcW w:w="2067" w:type="dxa"/>
                  <w:vAlign w:val="top"/>
                </w:tcPr>
                <w:p w14:paraId="37DEDE7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万用表（交直流电压/电流/电阻测量）、示波器（信号检测）、线路测试仪</w:t>
                  </w:r>
                </w:p>
              </w:tc>
              <w:tc>
                <w:tcPr>
                  <w:tcW w:w="800" w:type="dxa"/>
                  <w:vAlign w:val="top"/>
                </w:tcPr>
                <w:p w14:paraId="385CA8D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6CB4969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用于排查故障电气回路、检测备用系统参数，确认切换效果</w:t>
                  </w:r>
                </w:p>
              </w:tc>
            </w:tr>
            <w:tr w14:paraId="0D6B41A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AC0895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379C53A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应急照明设备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70B99B9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防爆手电筒（续航≥8小时，IPX4防水）、应急灯（充电式）</w:t>
                  </w:r>
                </w:p>
              </w:tc>
              <w:tc>
                <w:tcPr>
                  <w:tcW w:w="800" w:type="dxa"/>
                  <w:vAlign w:val="top"/>
                </w:tcPr>
                <w:p w14:paraId="074A8B4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0D6943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适配昏暗环境下的电气故障排查与切换操作</w:t>
                  </w:r>
                </w:p>
              </w:tc>
            </w:tr>
            <w:tr w14:paraId="701ADE7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587458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320D12B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警戒标识与隔离带</w:t>
                  </w:r>
                </w:p>
              </w:tc>
              <w:tc>
                <w:tcPr>
                  <w:tcW w:w="2067" w:type="dxa"/>
                  <w:vAlign w:val="top"/>
                </w:tcPr>
                <w:p w14:paraId="5BBE429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反光警戒牌（A3规格）、隔离带（50m）</w:t>
                  </w:r>
                </w:p>
              </w:tc>
              <w:tc>
                <w:tcPr>
                  <w:tcW w:w="800" w:type="dxa"/>
                  <w:vAlign w:val="top"/>
                </w:tcPr>
                <w:p w14:paraId="5556A83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1BEC70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划定电气故障处置区域，防止无关人员进入引发安全事故</w:t>
                  </w:r>
                </w:p>
              </w:tc>
            </w:tr>
            <w:tr w14:paraId="2932DCB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3D3A11A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500" w:type="dxa"/>
                  <w:vAlign w:val="top"/>
                </w:tcPr>
                <w:p w14:paraId="2AF6B0A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电气故障应急切换手册</w:t>
                  </w:r>
                </w:p>
              </w:tc>
              <w:tc>
                <w:tcPr>
                  <w:tcW w:w="2067" w:type="dxa"/>
                  <w:vAlign w:val="top"/>
                </w:tcPr>
                <w:p w14:paraId="446D1B1D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含故障判断、切换步骤、部件接线图、异常处置，A4规格</w:t>
                  </w:r>
                </w:p>
              </w:tc>
              <w:tc>
                <w:tcPr>
                  <w:tcW w:w="800" w:type="dxa"/>
                  <w:vAlign w:val="top"/>
                </w:tcPr>
                <w:p w14:paraId="4E4C62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1份</w:t>
                  </w:r>
                </w:p>
              </w:tc>
              <w:tc>
                <w:tcPr>
                  <w:tcW w:w="3436" w:type="dxa"/>
                  <w:vAlign w:val="top"/>
                </w:tcPr>
                <w:p w14:paraId="1F5F986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规范操作人员流程，避免误操作</w:t>
                  </w:r>
                </w:p>
              </w:tc>
            </w:tr>
          </w:tbl>
          <w:p w14:paraId="711CD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44D0E53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272C414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589BC80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2687110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6530406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1373E0DD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2B8876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04A336B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1FC5F1F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发动机电气应急操作专业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4526B5EA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0C5779F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142366B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精通电气故障判断与应急切换流程，能规范完成断电、接线、调试操作，处置切换过程中的异常问题</w:t>
                  </w:r>
                </w:p>
              </w:tc>
            </w:tr>
            <w:tr w14:paraId="6101EC1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BABC0F3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10E1A5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应急监测辅助专业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7519A5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04D4D107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3CE52F20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负责佩戴检测工具监测电气参数，协助准备防护装备与备用部件，设置警戒标识，记录处置过程信息</w:t>
                  </w:r>
                </w:p>
              </w:tc>
            </w:tr>
          </w:tbl>
          <w:p w14:paraId="48547617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67F5B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305EDC7E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07DFE271">
            <w:pPr>
              <w:pStyle w:val="16"/>
              <w:widowControl/>
              <w:numPr>
                <w:ilvl w:val="0"/>
                <w:numId w:val="1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发现电气故障后，先判断故障类型与切换条件。</w:t>
            </w:r>
          </w:p>
          <w:p w14:paraId="6ED5EDD6">
            <w:pPr>
              <w:pStyle w:val="16"/>
              <w:widowControl/>
              <w:numPr>
                <w:ilvl w:val="0"/>
                <w:numId w:val="1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佩戴绝缘防护装备，切断故障回路电源并做好标记。</w:t>
            </w:r>
          </w:p>
          <w:p w14:paraId="6682770C">
            <w:pPr>
              <w:pStyle w:val="16"/>
              <w:widowControl/>
              <w:numPr>
                <w:ilvl w:val="0"/>
                <w:numId w:val="1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按手册启动备用电气系统，完成连接与调试。</w:t>
            </w:r>
          </w:p>
          <w:p w14:paraId="4E167801">
            <w:pPr>
              <w:pStyle w:val="16"/>
              <w:widowControl/>
              <w:numPr>
                <w:ilvl w:val="0"/>
                <w:numId w:val="17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监测备用系统参数及发动机工况，确认切换成功；若失败，立即停止操作并启动应急预案，记录处置信息。</w:t>
            </w:r>
          </w:p>
          <w:p w14:paraId="0D387A76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3128645" cy="5421630"/>
                  <wp:effectExtent l="0" t="0" r="14605" b="7620"/>
                  <wp:docPr id="57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8645" cy="542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D8CAA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114FE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6CC08D28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3830A1E4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3C7BFD87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分析发动机应急故障原因操作</w:t>
      </w:r>
    </w:p>
    <w:tbl>
      <w:tblPr>
        <w:tblStyle w:val="1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6237"/>
      </w:tblGrid>
      <w:tr w14:paraId="24C7B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Align w:val="center"/>
          </w:tcPr>
          <w:p w14:paraId="672DE80D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项目编号</w:t>
            </w:r>
          </w:p>
        </w:tc>
        <w:tc>
          <w:tcPr>
            <w:tcW w:w="7088" w:type="dxa"/>
            <w:gridSpan w:val="2"/>
            <w:vAlign w:val="center"/>
          </w:tcPr>
          <w:p w14:paraId="2444E0F3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操作项目</w:t>
            </w:r>
          </w:p>
        </w:tc>
      </w:tr>
      <w:tr w14:paraId="3BDB3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384" w:type="dxa"/>
            <w:vAlign w:val="center"/>
          </w:tcPr>
          <w:p w14:paraId="022FEB42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OT0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7088" w:type="dxa"/>
            <w:gridSpan w:val="2"/>
            <w:vAlign w:val="center"/>
          </w:tcPr>
          <w:p w14:paraId="0DA101D1">
            <w:pPr>
              <w:tabs>
                <w:tab w:val="right" w:leader="dot" w:pos="8222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分析发动机应急故障原因操作</w:t>
            </w:r>
          </w:p>
        </w:tc>
      </w:tr>
      <w:tr w14:paraId="12327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472" w:type="dxa"/>
            <w:gridSpan w:val="3"/>
            <w:vAlign w:val="center"/>
          </w:tcPr>
          <w:p w14:paraId="5A10D68F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安全防护</w:t>
            </w:r>
          </w:p>
          <w:p w14:paraId="59F48EAC">
            <w:pPr>
              <w:pStyle w:val="16"/>
              <w:widowControl/>
              <w:tabs>
                <w:tab w:val="right" w:leader="dot" w:pos="0"/>
              </w:tabs>
              <w:ind w:left="480" w:firstLine="0" w:firstLineChars="0"/>
              <w:contextualSpacing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个人防护装备佩戴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；检查区域内严禁明火、吸烟。</w:t>
            </w:r>
          </w:p>
        </w:tc>
      </w:tr>
      <w:tr w14:paraId="3D9F5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2" w:type="dxa"/>
            <w:gridSpan w:val="3"/>
            <w:vAlign w:val="center"/>
          </w:tcPr>
          <w:p w14:paraId="7E0770B9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注意事项</w:t>
            </w:r>
          </w:p>
          <w:p w14:paraId="65CB4C04">
            <w:pPr>
              <w:widowControl/>
              <w:tabs>
                <w:tab w:val="right" w:leader="dot" w:pos="0"/>
              </w:tabs>
              <w:spacing w:line="360" w:lineRule="auto"/>
              <w:ind w:firstLine="399" w:firstLineChars="190"/>
              <w:contextualSpacing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严禁在风险未消除时近距离溯源。</w:t>
            </w:r>
          </w:p>
        </w:tc>
      </w:tr>
      <w:tr w14:paraId="644B2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8472" w:type="dxa"/>
            <w:gridSpan w:val="3"/>
          </w:tcPr>
          <w:p w14:paraId="702B491A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保障设施、保障设备（工具）、人力人员需求</w:t>
            </w:r>
          </w:p>
          <w:p w14:paraId="5948CE32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1）保障设施、保障设备(工具)</w:t>
            </w:r>
          </w:p>
          <w:tbl>
            <w:tblPr>
              <w:tblStyle w:val="12"/>
              <w:tblW w:w="4952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4"/>
              <w:gridCol w:w="1500"/>
              <w:gridCol w:w="2067"/>
              <w:gridCol w:w="800"/>
              <w:gridCol w:w="3436"/>
            </w:tblGrid>
            <w:tr w14:paraId="0044CEA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center"/>
                </w:tcPr>
                <w:p w14:paraId="24C9F4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00" w:type="dxa"/>
                  <w:vAlign w:val="center"/>
                </w:tcPr>
                <w:p w14:paraId="5868ADD1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067" w:type="dxa"/>
                  <w:vAlign w:val="center"/>
                </w:tcPr>
                <w:p w14:paraId="12F2A41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规格 / 型号</w:t>
                  </w:r>
                </w:p>
              </w:tc>
              <w:tc>
                <w:tcPr>
                  <w:tcW w:w="800" w:type="dxa"/>
                  <w:vAlign w:val="center"/>
                </w:tcPr>
                <w:p w14:paraId="2935D2D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数量及单位</w:t>
                  </w:r>
                </w:p>
              </w:tc>
              <w:tc>
                <w:tcPr>
                  <w:tcW w:w="3436" w:type="dxa"/>
                  <w:vAlign w:val="center"/>
                </w:tcPr>
                <w:p w14:paraId="28995F6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3FFEFE0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5071352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00" w:type="dxa"/>
                  <w:vAlign w:val="top"/>
                </w:tcPr>
                <w:p w14:paraId="0660394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综合故障检测套装</w:t>
                  </w:r>
                </w:p>
              </w:tc>
              <w:tc>
                <w:tcPr>
                  <w:tcW w:w="2067" w:type="dxa"/>
                  <w:vAlign w:val="top"/>
                </w:tcPr>
                <w:p w14:paraId="387B028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含万用表、振动检测仪、测温仪、油压表、线路测试仪，适配发动机电气/机械/液压系统</w:t>
                  </w:r>
                </w:p>
              </w:tc>
              <w:tc>
                <w:tcPr>
                  <w:tcW w:w="800" w:type="dxa"/>
                  <w:vAlign w:val="top"/>
                </w:tcPr>
                <w:p w14:paraId="148E293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33D851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用于多维度检测故障参数，为原因分析提供数据支撑</w:t>
                  </w:r>
                </w:p>
              </w:tc>
            </w:tr>
            <w:tr w14:paraId="2F0C90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8A7048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00" w:type="dxa"/>
                  <w:vAlign w:val="top"/>
                </w:tcPr>
                <w:p w14:paraId="31A26CE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安全防护装备</w:t>
                  </w:r>
                </w:p>
              </w:tc>
              <w:tc>
                <w:tcPr>
                  <w:tcW w:w="2067" w:type="dxa"/>
                  <w:vAlign w:val="top"/>
                </w:tcPr>
                <w:p w14:paraId="511BCB2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绝缘手套、防化手套、护目镜、安全帽、防静电服，适配不同故障场景</w:t>
                  </w:r>
                </w:p>
              </w:tc>
              <w:tc>
                <w:tcPr>
                  <w:tcW w:w="800" w:type="dxa"/>
                  <w:vAlign w:val="top"/>
                </w:tcPr>
                <w:p w14:paraId="56DC3E1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7A9A77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保障分析过程中操作人员的人身安全，防范触电、泄漏、高温等风险</w:t>
                  </w:r>
                </w:p>
              </w:tc>
            </w:tr>
            <w:tr w14:paraId="6250EF8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226F72B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500" w:type="dxa"/>
                  <w:vAlign w:val="top"/>
                </w:tcPr>
                <w:p w14:paraId="16484AF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辅助分析工具</w:t>
                  </w:r>
                </w:p>
              </w:tc>
              <w:tc>
                <w:tcPr>
                  <w:tcW w:w="2067" w:type="dxa"/>
                  <w:vAlign w:val="top"/>
                </w:tcPr>
                <w:p w14:paraId="25208DD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发动机维修手册、故障代码对照表、便携式照明设备、专业听诊器</w:t>
                  </w:r>
                </w:p>
              </w:tc>
              <w:tc>
                <w:tcPr>
                  <w:tcW w:w="800" w:type="dxa"/>
                  <w:vAlign w:val="top"/>
                </w:tcPr>
                <w:p w14:paraId="1B94E37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6C508C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协助快速查询故障关联信息，定位疑似故障部位</w:t>
                  </w:r>
                </w:p>
              </w:tc>
            </w:tr>
            <w:tr w14:paraId="65017B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406AC1EA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500" w:type="dxa"/>
                  <w:vAlign w:val="top"/>
                </w:tcPr>
                <w:p w14:paraId="1ADB9EF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记录与通讯设备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6397897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防水记录本、签字笔、防爆对讲机、数据存储设备</w:t>
                  </w:r>
                </w:p>
              </w:tc>
              <w:tc>
                <w:tcPr>
                  <w:tcW w:w="800" w:type="dxa"/>
                  <w:vAlign w:val="top"/>
                </w:tcPr>
                <w:p w14:paraId="55BA417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6790ED48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用于实时记录分析数据，与团队同步信息，保障数据留存完整</w:t>
                  </w:r>
                </w:p>
              </w:tc>
            </w:tr>
            <w:tr w14:paraId="6802A5C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64" w:type="dxa"/>
                  <w:vAlign w:val="top"/>
                </w:tcPr>
                <w:p w14:paraId="174FA044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500" w:type="dxa"/>
                  <w:vAlign w:val="top"/>
                </w:tcPr>
                <w:p w14:paraId="7F47B19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应急警戒设备</w:t>
                  </w:r>
                </w:p>
              </w:tc>
              <w:tc>
                <w:tcPr>
                  <w:tcW w:w="2067" w:type="dxa"/>
                  <w:vAlign w:val="top"/>
                </w:tcPr>
                <w:p w14:paraId="3A7335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反光警戒牌、隔离带、警示灯，标识清晰醒目</w:t>
                  </w:r>
                </w:p>
              </w:tc>
              <w:tc>
                <w:tcPr>
                  <w:tcW w:w="800" w:type="dxa"/>
                  <w:vAlign w:val="top"/>
                </w:tcPr>
                <w:p w14:paraId="2F2632EF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1套</w:t>
                  </w:r>
                </w:p>
              </w:tc>
              <w:tc>
                <w:tcPr>
                  <w:tcW w:w="3436" w:type="dxa"/>
                  <w:vAlign w:val="top"/>
                </w:tcPr>
                <w:p w14:paraId="34D8DF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划定故障分析区域，防止无关人员进入引发安全事故</w:t>
                  </w:r>
                </w:p>
              </w:tc>
            </w:tr>
          </w:tbl>
          <w:p w14:paraId="63361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2）人力人员</w:t>
            </w:r>
          </w:p>
          <w:tbl>
            <w:tblPr>
              <w:tblStyle w:val="12"/>
              <w:tblW w:w="0" w:type="auto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34"/>
              <w:gridCol w:w="1533"/>
              <w:gridCol w:w="750"/>
              <w:gridCol w:w="1317"/>
              <w:gridCol w:w="4283"/>
            </w:tblGrid>
            <w:tr w14:paraId="0A06E3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1E2F3BE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533" w:type="dxa"/>
                  <w:vAlign w:val="center"/>
                </w:tcPr>
                <w:p w14:paraId="37F8A0D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35EF90A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人数</w:t>
                  </w:r>
                </w:p>
              </w:tc>
              <w:tc>
                <w:tcPr>
                  <w:tcW w:w="1317" w:type="dxa"/>
                  <w:vAlign w:val="center"/>
                </w:tcPr>
                <w:p w14:paraId="438391D0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技能等级</w:t>
                  </w:r>
                </w:p>
              </w:tc>
              <w:tc>
                <w:tcPr>
                  <w:tcW w:w="4283" w:type="dxa"/>
                  <w:vAlign w:val="center"/>
                </w:tcPr>
                <w:p w14:paraId="6AAE8A34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备注</w:t>
                  </w:r>
                </w:p>
              </w:tc>
            </w:tr>
            <w:tr w14:paraId="5D66056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7F9B8802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533" w:type="dxa"/>
                  <w:vAlign w:val="top"/>
                </w:tcPr>
                <w:p w14:paraId="093EE0C6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发动机故障分析专业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13B8FA0B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03CF9396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中级及以上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44FB146E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精通发动机机械、电气、燃油系统故障机理，能规范使用检测工具，结合运行记录精准溯源故障原因</w:t>
                  </w:r>
                </w:p>
              </w:tc>
            </w:tr>
            <w:tr w14:paraId="2E34F2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334" w:type="dxa"/>
                  <w:vAlign w:val="center"/>
                </w:tcPr>
                <w:p w14:paraId="76575EB9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533" w:type="dxa"/>
                  <w:vAlign w:val="top"/>
                </w:tcPr>
                <w:p w14:paraId="54A2AD25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故障分析辅助专业</w:t>
                  </w:r>
                </w:p>
              </w:tc>
              <w:tc>
                <w:tcPr>
                  <w:tcW w:w="750" w:type="dxa"/>
                  <w:vAlign w:val="center"/>
                </w:tcPr>
                <w:p w14:paraId="58C8892E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1 人</w:t>
                  </w:r>
                </w:p>
              </w:tc>
              <w:tc>
                <w:tcPr>
                  <w:tcW w:w="1317" w:type="dxa"/>
                  <w:vAlign w:val="center"/>
                </w:tcPr>
                <w:p w14:paraId="29EE1BE5"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240" w:lineRule="auto"/>
                    <w:ind w:left="0" w:leftChars="0" w:right="0" w:rightChars="0" w:firstLine="0" w:firstLineChars="0"/>
                    <w:jc w:val="left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初级及以上</w:t>
                  </w:r>
                </w:p>
              </w:tc>
              <w:tc>
                <w:tcPr>
                  <w:tcW w:w="4283" w:type="dxa"/>
                  <w:vAlign w:val="top"/>
                </w:tcPr>
                <w:p w14:paraId="1040E87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20"/>
                      <w:szCs w:val="20"/>
                      <w:lang w:val="en-US" w:eastAsia="zh-CN" w:bidi="ar"/>
                    </w:rPr>
                    <w:t>负责准备检测工具与防护装备，记录分析过程及数据，协助开展交叉验证，维护现场警戒秩序</w:t>
                  </w:r>
                </w:p>
              </w:tc>
            </w:tr>
          </w:tbl>
          <w:p w14:paraId="425AEDCE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3AFD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  <w:jc w:val="center"/>
        </w:trPr>
        <w:tc>
          <w:tcPr>
            <w:tcW w:w="8472" w:type="dxa"/>
            <w:gridSpan w:val="3"/>
          </w:tcPr>
          <w:p w14:paraId="79DA3666">
            <w:pPr>
              <w:tabs>
                <w:tab w:val="right" w:leader="dot" w:pos="8222"/>
              </w:tabs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操作步骤</w:t>
            </w:r>
            <w:r>
              <w:rPr>
                <w:rFonts w:ascii="Times New Roman" w:hAnsi="Times New Roman" w:eastAsia="宋体" w:cs="Times New Roman"/>
                <w:szCs w:val="21"/>
              </w:rPr>
              <w:tab/>
            </w:r>
          </w:p>
          <w:p w14:paraId="10DCBA24">
            <w:pPr>
              <w:pStyle w:val="16"/>
              <w:widowControl/>
              <w:numPr>
                <w:ilvl w:val="0"/>
                <w:numId w:val="1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先确保设备处于安全状态，设置警戒区域消除二次风险。</w:t>
            </w:r>
          </w:p>
          <w:p w14:paraId="587347BE">
            <w:pPr>
              <w:pStyle w:val="16"/>
              <w:widowControl/>
              <w:numPr>
                <w:ilvl w:val="0"/>
                <w:numId w:val="1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收集全流程操作记录与故障工况信息，备好检测工具与防护装备。</w:t>
            </w:r>
          </w:p>
          <w:p w14:paraId="2169AC90">
            <w:pPr>
              <w:pStyle w:val="16"/>
              <w:widowControl/>
              <w:numPr>
                <w:ilvl w:val="0"/>
                <w:numId w:val="1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按 “由表及里” 原则，用专业工具检测排查，记录检测数据与疑似故障点。</w:t>
            </w:r>
          </w:p>
          <w:p w14:paraId="72B2D556">
            <w:pPr>
              <w:pStyle w:val="16"/>
              <w:widowControl/>
              <w:numPr>
                <w:ilvl w:val="0"/>
                <w:numId w:val="18"/>
              </w:numPr>
              <w:tabs>
                <w:tab w:val="right" w:leader="dot" w:pos="0"/>
                <w:tab w:val="left" w:pos="3303"/>
              </w:tabs>
              <w:spacing w:line="276" w:lineRule="auto"/>
              <w:ind w:firstLineChars="0"/>
              <w:contextualSpacing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通过交叉验证确认根源，无法确定则上报，全程规范留存分析记录。</w:t>
            </w:r>
          </w:p>
          <w:p w14:paraId="28630AF4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4"/>
              </w:rPr>
            </w:pPr>
            <w:r>
              <w:drawing>
                <wp:inline distT="0" distB="0" distL="114300" distR="114300">
                  <wp:extent cx="2370455" cy="5125085"/>
                  <wp:effectExtent l="0" t="0" r="10795" b="18415"/>
                  <wp:docPr id="59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455" cy="512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56BF8">
            <w:pPr>
              <w:pStyle w:val="16"/>
              <w:widowControl/>
              <w:tabs>
                <w:tab w:val="right" w:leader="dot" w:pos="0"/>
              </w:tabs>
              <w:spacing w:line="276" w:lineRule="auto"/>
              <w:ind w:left="-25" w:firstLine="0" w:firstLineChars="0"/>
              <w:contextualSpacing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操作流程图</w:t>
            </w:r>
          </w:p>
        </w:tc>
      </w:tr>
      <w:tr w14:paraId="3B38A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gridSpan w:val="2"/>
          </w:tcPr>
          <w:p w14:paraId="10791FA3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页码：1/1</w:t>
            </w:r>
          </w:p>
        </w:tc>
        <w:tc>
          <w:tcPr>
            <w:tcW w:w="6237" w:type="dxa"/>
          </w:tcPr>
          <w:p w14:paraId="0A87B4A5">
            <w:pPr>
              <w:tabs>
                <w:tab w:val="right" w:leader="dot" w:pos="8222"/>
              </w:tabs>
              <w:spacing w:line="360" w:lineRule="auto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版本号：1</w:t>
            </w:r>
          </w:p>
        </w:tc>
      </w:tr>
    </w:tbl>
    <w:p w14:paraId="0FFD5FB1">
      <w:pPr>
        <w:pStyle w:val="3"/>
        <w:bidi w:val="0"/>
        <w:rPr>
          <w:rFonts w:hint="eastAsia"/>
          <w:lang w:val="en-US" w:eastAsia="zh-CN"/>
        </w:rPr>
      </w:pPr>
      <w:bookmarkStart w:id="19" w:name="_Toc18500"/>
      <w:r>
        <w:rPr>
          <w:rFonts w:hint="eastAsia"/>
          <w:lang w:val="en-US" w:eastAsia="zh-CN"/>
        </w:rPr>
        <w:t>4.3战位操作表</w:t>
      </w:r>
      <w:bookmarkEnd w:id="19"/>
    </w:p>
    <w:p w14:paraId="1791C5AA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19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战位操作表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6"/>
        <w:gridCol w:w="902"/>
        <w:gridCol w:w="1000"/>
        <w:gridCol w:w="1050"/>
        <w:gridCol w:w="2633"/>
        <w:gridCol w:w="2465"/>
      </w:tblGrid>
      <w:tr w14:paraId="4CB0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09C1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B278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战位操作项目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0DF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战位操作人员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3135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操作设备或控制台名称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36CC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安全注意事项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C83D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战位职责</w:t>
            </w:r>
          </w:p>
        </w:tc>
      </w:tr>
      <w:tr w14:paraId="1979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9421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639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发动机启动前检查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00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1F67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发动机本体、油液检测工具、电气线路检测仪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0F81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检查油液（机油、燃油、冷却液）液位时避免滴漏污染；2. 检测电气线路时需确认断电状态，佩戴绝缘手套；3. 严禁在检查区域遗留工具或杂物。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2DC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全面排查发动机油液、电气、机械部件状态；2. 确认各连接管路无泄漏、紧固件无松动；3. 填写启动前检查记录表，异常情况及时上报。</w:t>
            </w:r>
          </w:p>
        </w:tc>
      </w:tr>
      <w:tr w14:paraId="5B42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2C8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B15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发动机启动与怠速调试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436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1A62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发动机启动控制台、转速表、油压表、水温表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65D6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启动时远离发动机旋转部件，防止衣物卷入；2. 密切监测启动过程中转速、油压、水温等参数，异常立即停机；3. 怠速调试时严禁随意触碰油门控制旋钮。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D497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按规范流程执行发动机启动操作；2. 调试怠速转速至标准范围，确认各仪表显示正常；3. 排查启动过程中有无异响、泄漏等异常，做好启动记录。</w:t>
            </w:r>
          </w:p>
        </w:tc>
      </w:tr>
      <w:tr w14:paraId="65B9E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A27F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67E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负荷调节与运行监控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66E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发动机操作手+监测员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EFA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负荷控制控制台、综合参数监测系统、应急通讯设备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F35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负荷调节需逐步进行，避免骤加骤减；2. 监测员实时盯控参数变化，发现超温、油压低等异常立即提示操作手；3. 保持通讯畅通，紧急情况及时联动处置。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330CF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操作手根据指令精准调节发动机负荷；2. 监测员实时记录转速、负荷率、油液参数等运行数据；3. 共同排查运行中的异常迹象，协同处置突发问题。</w:t>
            </w:r>
          </w:p>
        </w:tc>
      </w:tr>
      <w:tr w14:paraId="0B3F1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A307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428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待机模式切换操作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781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A11F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模式切换控制台、待机转速监测仪、辅助冷却装置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FB1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切换前需逐步卸载负荷至空载，严禁带负荷切换；2. 监测待机转速是否稳定，辅助冷却装置是否正常启动；3. 切换过程中出现转速波动立即暂停操作。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3D4A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按手册规范执行待机模式切换流程；2. 确认切换后发动机运行参数符合待机标准；3. 检查辅助系统（冷却、润滑）运行状态，做好切换记录。</w:t>
            </w:r>
          </w:p>
        </w:tc>
      </w:tr>
      <w:tr w14:paraId="31BC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BACA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D739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应急故障（超温、油压低等）处置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F440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发动机操作手+应急处置员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9CA1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紧急停机按钮、故障检测工具套装、应急封堵/冷却设备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2007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处置时按“先控风险再排查”原则，优先保障人员安全；2. 操作紧急停机按钮时需保持1-2秒，确认发动机停转；3. 使用应急设备时严格遵循操作规范，避免二次损伤。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DFCA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操作手快速执行负荷卸载、紧急停机等操作；2. 应急处置员使用专业工具排查故障原因，实施临时封堵或冷却；3. 共同记录故障处置过程，上报故障信息及处置结果。</w:t>
            </w:r>
          </w:p>
        </w:tc>
      </w:tr>
      <w:tr w14:paraId="6DDB5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1F5F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18B4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发动机正常停机与战后检查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B4BE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发动机操作手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8E25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停机控制台、油液检测工具、清洁工具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5EEC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正常停机需先卸载负荷至空载，怠速运转3-5分钟后再执行停机；2. 战后检查需待发动机降温后进行，避免触碰高温部件；3. 清洁设备时严禁使用明火或腐蚀性清洁剂。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D69D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按规范流程完成发动机正常停机操作；2. 战后全面检查发动机部件有无磨损、泄漏、过热痕迹；3. 清理操作区域，整理工具设备，填写运行与停机记录表。</w:t>
            </w:r>
          </w:p>
        </w:tc>
      </w:tr>
      <w:tr w14:paraId="74750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0D4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9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4865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电气系统故障应急切换</w:t>
            </w:r>
          </w:p>
        </w:tc>
        <w:tc>
          <w:tcPr>
            <w:tcW w:w="100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6641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电气操作手</w:t>
            </w:r>
          </w:p>
        </w:tc>
        <w:tc>
          <w:tcPr>
            <w:tcW w:w="105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DE69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电气故障检测台、备用电气模块、绝缘防护装备</w:t>
            </w:r>
          </w:p>
        </w:tc>
        <w:tc>
          <w:tcPr>
            <w:tcW w:w="26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A219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切换前必须切断故障回路电源，验电确认无电压后再操作；2. 佩戴绝缘手套、护目镜等防护装备，防止触电或短路火花；3. 严禁在潮湿环境下进行电气切换操作。</w:t>
            </w:r>
          </w:p>
        </w:tc>
        <w:tc>
          <w:tcPr>
            <w:tcW w:w="24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76FCA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快速排查电气故障类型与部位，确认切换条件；2. 按手册更换备用电气模块，完成线路连接与调试；3. 监测切换后电气系统运行参数，做好故障与切换记录。</w:t>
            </w:r>
          </w:p>
        </w:tc>
      </w:tr>
    </w:tbl>
    <w:p w14:paraId="1ED1B313">
      <w:pPr>
        <w:rPr>
          <w:rFonts w:hint="default"/>
          <w:lang w:val="en-US" w:eastAsia="zh-CN"/>
        </w:rPr>
      </w:pPr>
    </w:p>
    <w:p w14:paraId="2F83B9AF"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bookmarkStart w:id="20" w:name="_Toc27013"/>
      <w:r>
        <w:rPr>
          <w:rFonts w:hint="eastAsia"/>
          <w:lang w:val="en-US" w:eastAsia="zh-CN"/>
        </w:rPr>
        <w:t>使用期间安全防护及注意事项</w:t>
      </w:r>
      <w:bookmarkEnd w:id="20"/>
    </w:p>
    <w:p w14:paraId="0CA143E5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eastAsia"/>
          <w:lang w:val="en-US" w:eastAsia="zh-CN"/>
        </w:rPr>
      </w:pPr>
      <w:bookmarkStart w:id="21" w:name="_Toc4656"/>
      <w:r>
        <w:rPr>
          <w:rFonts w:hint="eastAsia"/>
          <w:lang w:val="en-US" w:eastAsia="zh-CN"/>
        </w:rPr>
        <w:t>安全防护</w:t>
      </w:r>
      <w:bookmarkEnd w:id="21"/>
    </w:p>
    <w:p w14:paraId="5FFC1580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安全防护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2"/>
        <w:gridCol w:w="1213"/>
        <w:gridCol w:w="5116"/>
        <w:gridCol w:w="1735"/>
      </w:tblGrid>
      <w:tr w14:paraId="5C06B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8C8F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38FE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操作使用项目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6576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安全防护要求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8057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1319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9679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86E9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发动机启动前检查（油液、线路、机械部件）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3C70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个人防护：佩戴安全帽、防滑绝缘鞋，检查电气线路时额外佩戴绝缘手套；2. 环境防护：划定检查警戒区域，清理区域内杂物，设置“正在检查，禁止靠近”标识；3. 操作防护：油液检测时使用接油盘防止滴漏，机械部件检查时避免触碰锋利边缘，严禁用手试探旋转部件间隙。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59A5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需携带工具包规范收纳检测工具，避免工具遗留发动机表面引发运行风险</w:t>
            </w:r>
          </w:p>
        </w:tc>
      </w:tr>
      <w:tr w14:paraId="385DD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60E2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F48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发动机启动与怠速调试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BD2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个人防护：穿戴紧身工作服，袖口、裤脚需收紧，禁止佩戴宽松饰品，长发需盘入安全帽内；2. 操作防护：启动时与发动机旋转部件（风扇、皮带轮等）保持至少1米安全距离，调试时双手操作控制台，严禁单手操作同时触碰其他部件；3. 应急防护：启动控制台旁备好应急停机按钮，熟悉操作方式，出现异常立即停机。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7318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启动后需监听发动机运行声音，观察仪表数据，发现异响、参数异常立即处置</w:t>
            </w:r>
          </w:p>
        </w:tc>
      </w:tr>
      <w:tr w14:paraId="09E0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709E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85A2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发动机负荷调节与持续运行监控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622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个人防护：监测人员需全程在岗，穿戴工作服，接触控制台时保持手部干燥；2. 设备防护：定期检查控制台按键、仪表灵敏度，避免因设备故障导致误操作；3. 环境防护：保持操作间通风良好，若发动机存在尾气泄漏风险，需开启尾气处理装置；4. 联动防护：操作手与监测员保持实时通讯，负荷调节前需确认监测员准备就绪。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8E5D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严禁在运行过程中擅自离开操作岗位，确需离开需安排专人顶岗并交接清楚运行状态</w:t>
            </w:r>
          </w:p>
        </w:tc>
      </w:tr>
      <w:tr w14:paraId="74E9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10F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7DE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发动机待机模式切换与低负荷运行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D7F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操作防护：切换前需逐步卸载负荷，严禁带负荷直接切换，操作模式切换按钮时需平稳用力，避免误触其他控制键；2. 参数防护：密切监测切换过程中转速、油压、水温等参数变化，设置参数异常报警阈值；3. 辅助防护：确认辅助冷却、润滑系统正常启动，避免待机状态下因散热不足导致部件过热。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842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待机期间需定期巡检发动机本体状态，每15分钟记录一次核心运行参数</w:t>
            </w:r>
          </w:p>
        </w:tc>
      </w:tr>
      <w:tr w14:paraId="6870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0F3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7CE9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超温、油压低等应急故障处置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BE6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个人防护：处置人员穿戴防高温手套、护目镜，电气故障处置时额外佩戴绝缘装备，燃油泄漏处置时穿戴防静电服；2. 应急防护：按“先控风险再排查”原则，优先切断相关系统电源/燃油供给，设置应急警戒标识；3. 器材防护：备好应急冷却、封堵、检测工具，确保工具处于完好可用状态，消防器材放置在易取用位置。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7D3F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处置过程中严禁盲目拆解部件，无法控制故障时立即撤离至安全区域并上报</w:t>
            </w:r>
          </w:p>
        </w:tc>
      </w:tr>
      <w:tr w14:paraId="3BF1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7C1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</w:t>
            </w:r>
          </w:p>
          <w:p w14:paraId="4A4EAC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F300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发动机紧急停机操作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2D4E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操作防护：确认满足紧急停机条件后，快速按压紧急停机按钮并保持1-2秒，确保发动机完全停转，严禁误触该按钮；2. 后续防护：停机后立即切断总电源、燃油供给，设置“紧急停机，禁止启动”标识，避免他人误操作；3. 人员防护：停机后不得立即靠近发动机高温部件，待温度降至安全范围再进行后续排查。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171E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紧急停机按钮需定期检查灵活性，每月至少开展一次功能测试，确保应急时可用</w:t>
            </w:r>
          </w:p>
        </w:tc>
      </w:tr>
      <w:tr w14:paraId="19EE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4BE8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  <w:p w14:paraId="3188CC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362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发动机停机后维护与清洁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84D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1. 个人防护：维护人员佩戴防化手套、护目镜，接触机油、冷却液时避免皮肤直接接触；2. 操作防护：清洁发动机表面时使用专用清洁剂，严禁使用高压水枪直接冲洗电气部件，避免水分渗入导致短路；3. 部件防护：拆卸部件时轻拿轻放，做好标记，避免错装、漏装，维护后及时清理工具和废油。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CBF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240" w:lineRule="auto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废油、废清洁剂需按环保要求集中收集处理，严禁随意倾倒污染环境</w:t>
            </w:r>
          </w:p>
        </w:tc>
      </w:tr>
    </w:tbl>
    <w:p w14:paraId="636C95A8">
      <w:pPr>
        <w:rPr>
          <w:rFonts w:hint="eastAsia"/>
          <w:lang w:val="en-US" w:eastAsia="zh-CN"/>
        </w:rPr>
      </w:pPr>
    </w:p>
    <w:p w14:paraId="6464A280">
      <w:pPr>
        <w:pStyle w:val="3"/>
        <w:numPr>
          <w:ilvl w:val="1"/>
          <w:numId w:val="1"/>
        </w:numPr>
        <w:bidi w:val="0"/>
        <w:ind w:left="567" w:leftChars="0" w:hanging="567" w:firstLineChars="0"/>
        <w:rPr>
          <w:rFonts w:hint="default"/>
          <w:lang w:val="en-US" w:eastAsia="zh-CN"/>
        </w:rPr>
      </w:pPr>
      <w:bookmarkStart w:id="22" w:name="_Toc16983"/>
      <w:r>
        <w:rPr>
          <w:rFonts w:hint="eastAsia"/>
          <w:lang w:val="en-US" w:eastAsia="zh-CN"/>
        </w:rPr>
        <w:t>注意事项</w:t>
      </w:r>
      <w:bookmarkEnd w:id="22"/>
    </w:p>
    <w:p w14:paraId="6B99F15D">
      <w:pPr>
        <w:pStyle w:val="5"/>
        <w:spacing w:line="360" w:lineRule="auto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表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STYLEREF 1 \s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5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.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SEQ 表 \* ARABIC \s 1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2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注意事项</w:t>
      </w:r>
    </w:p>
    <w:tbl>
      <w:tblPr>
        <w:tblStyle w:val="1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0"/>
        <w:gridCol w:w="1053"/>
        <w:gridCol w:w="4600"/>
        <w:gridCol w:w="2378"/>
      </w:tblGrid>
      <w:tr w14:paraId="7192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0E3B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5F44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操作使用项目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408E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注意事项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3CD4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117D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D902C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4F8C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启动前备车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4CCE0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充分暖机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：确保缸套冷却水温度 &gt;45°C，避免热应力损坏。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必须盘车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：盘车1-2圈，确认转动无卡阻、无异物。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必须冲车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：打开示功阀，用启动空气冲走气缸内可能积存的油、水。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系统驱气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：确认燃油、滑油管路中无空气。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参数核查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：所有压力（滑油、冷却水、空气）、温度、油位、粘度均在规定范围。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93303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冷机启动是磨损主因。不盘车、不冲车可能导致“水击”等严重机械损坏。</w:t>
            </w:r>
          </w:p>
        </w:tc>
      </w:tr>
      <w:tr w14:paraId="5E16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15075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1D5BF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启动操作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A7B73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试车确认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：在脱开轴系（或合盘车机）状态下，测试启动、换向功能正常。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启动后观察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：立即确认滑油压力建立，各缸排温正常上升，无异常声响。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低速运行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：启动后应在低负荷下运行一段时间，进行最终暖机和全面检查。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F5E9B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避免连续多次启动失败，防止启动空气耗尽或蓄电池亏电。</w:t>
            </w:r>
          </w:p>
        </w:tc>
      </w:tr>
      <w:tr w14:paraId="4B60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77EC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8C9F5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运行监控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3CBD1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参数平衡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：重点监控各缸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排气温度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爆炸压力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，差值应在允许范围内（如±5%）。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警惕异常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：注意任何不正常的声响、振动、气味或烟色变化。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辅助系统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：持续关注燃油粘度、滑油滤器压差、增压器转速等。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144FC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参数不平衡是故障最早、最明确的征兆。黑烟可能燃烧不良，蓝烟可能烧滑油。</w:t>
            </w:r>
          </w:p>
        </w:tc>
      </w:tr>
      <w:tr w14:paraId="792E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79581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A051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负荷调节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807C1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平稳操作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：加减速应缓慢、逐级进行，避免突加突卸负荷。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关注喘振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：加速时注意增压器喘振边界，防止因进气不足导致喘振。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避免低负荷长运行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：低负荷运行易导致燃烧不良、增压器脏堵。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CAC4F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剧烈变负荷会导致热应力冲击、零部件疲劳，并可能触发增压器喘振。</w:t>
            </w:r>
          </w:p>
        </w:tc>
      </w:tr>
      <w:tr w14:paraId="45CD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574B0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910CC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燃油管理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BFF5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切换时机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：重油/柴油切换必须在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稳定负荷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下进行。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停车前换油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：计划停车前，必须提前（通常≥1小时）换烧柴油，以净化系统。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油品匹配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：确保气缸油碱值与燃油硫含量相匹配。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8E75B8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不当的燃油切换或匹配会导致喷油器堵塞、冷车启动困难、气缸腐蚀。</w:t>
            </w:r>
          </w:p>
        </w:tc>
      </w:tr>
      <w:tr w14:paraId="20B99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4203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93A8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机动操纵 (进出港)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AED0F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加强沟通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：与驾驶台保持畅通沟通，预先知晓操纵意图。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遵守换向限制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：严格在主机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规定转速以下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进行换向操作。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准备应急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：机动航行时，轮机长或大管轮应在集控室值守。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DAF4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紧急倒车对主机机械部件（曲轴、齿轮）造成巨大冲击，非极端情况严禁使用。</w:t>
            </w:r>
          </w:p>
        </w:tc>
      </w:tr>
      <w:tr w14:paraId="5A9B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4E922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20C0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正常停车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0DF6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逐步降速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：停车前应逐步降低负荷，并低速运行一段时间（如15分钟），使温度均匀下降。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延时循环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：主机停转后，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滑油泵和冷却水泵必须继续运行15-30分钟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，以带走残余热量。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完车操作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：关闭相关阀门，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合上盘车机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，防止船舶摇晃导致主机转动。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0EF4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立即停泵会导致高温部件余热无法散出，引起局部过热、滑油结焦。</w:t>
            </w:r>
          </w:p>
        </w:tc>
      </w:tr>
      <w:tr w14:paraId="740D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B015E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955EA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应急情况处理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3ED80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安保停车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：立即查明警报原因，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严禁盲目复位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。必须在排除故障后方可按规程复位启动。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单缸停油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：若某缸出现严重故障（排温极高、严重敲缸），可切断该缸喷油，降功率运行。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封缸运行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：运动件损坏时，严格按规程进行物理隔离和操作限制。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2B937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盲目复位可能导致故障扩大，引发二次损坏甚至安全事故。</w:t>
            </w:r>
          </w:p>
        </w:tc>
      </w:tr>
      <w:tr w14:paraId="27E9A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B967B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A2F83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日常与定期维护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3397A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按计划执行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：严格遵守说明书和体系文件的预防性维护计划。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记录与分析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：认真填写日志，定期分析运行参数趋势，进行预测性维护。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备件与物料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：只使用规定规格和品质的燃油、滑油、滤器及备件。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4C01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“重使用、轻维护”是主机寿命缩短的主要原因。劣质油品和备件危害巨大。</w:t>
            </w:r>
          </w:p>
        </w:tc>
      </w:tr>
      <w:tr w14:paraId="23CF1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DD6F9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C850B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人员与纪律</w:t>
            </w:r>
          </w:p>
        </w:tc>
        <w:tc>
          <w:tcPr>
            <w:tcW w:w="460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26CB0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持证与熟悉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：操作人员必须持证并经过本船主机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机型培训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遵守规程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：一切操作以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官方说明书和公司体系文件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为准，杜绝经验主义。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3. 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工前会与沟通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：进行重大操作或维修前，必须召开工前会，明确步骤、风险和分工。</w:t>
            </w:r>
          </w:p>
        </w:tc>
        <w:tc>
          <w:tcPr>
            <w:tcW w:w="2378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8E93A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人为失误是事故的主要根源。良好的纪律和团队沟通是安全的基石。</w:t>
            </w:r>
          </w:p>
        </w:tc>
      </w:tr>
    </w:tbl>
    <w:p w14:paraId="01E4D069">
      <w:pPr>
        <w:keepNext w:val="0"/>
        <w:keepLines w:val="0"/>
        <w:widowControl/>
        <w:suppressLineNumbers w:val="0"/>
        <w:jc w:val="left"/>
      </w:pPr>
    </w:p>
    <w:p w14:paraId="0BF8C639">
      <w:pPr>
        <w:spacing w:line="360" w:lineRule="auto"/>
        <w:ind w:firstLine="420" w:firstLineChars="0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1B4F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183B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eh/es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ASwzQqfvn+7fLj&#10;1+XnV4IzCFS7MEfcziEyNm9tg7YZzgMOE++m9Dp9wYjAD6zzVV7RRMLTpdl0NhvDxeEbNsDPHq87&#10;H+I7YTVJRk496tfKyk7bELvQISRlM3YjlWprqAypQeL1m3F74eoBuDLIkUh0j01WbPZNz2xvizOI&#10;edv1RnB8I5F8y0J8YB7NgAdjXOI9llJZJLG9RUll/Zd/nad41AheSmo0V04NZokS9d6gdgCMg+EH&#10;Yz8Y5qjvLLp1gjF0vDVxwUc1mKW3+jNmaJVywMUMR6acxsG8i12DYwa5WK3aoKPz8lB1F9B5jsWt&#10;2Tme0iQhg1sdI8RsNU4Cdar0uqH32ir1c5Ka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Hof3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183B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1721A0"/>
    <w:multiLevelType w:val="multilevel"/>
    <w:tmpl w:val="A31721A0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">
    <w:nsid w:val="AE8E313D"/>
    <w:multiLevelType w:val="multilevel"/>
    <w:tmpl w:val="AE8E313D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2">
    <w:nsid w:val="B81E57BC"/>
    <w:multiLevelType w:val="multilevel"/>
    <w:tmpl w:val="B81E57BC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3">
    <w:nsid w:val="CA372070"/>
    <w:multiLevelType w:val="multilevel"/>
    <w:tmpl w:val="CA372070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4">
    <w:nsid w:val="D4EB6FED"/>
    <w:multiLevelType w:val="multilevel"/>
    <w:tmpl w:val="D4EB6FED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5">
    <w:nsid w:val="D58AC8B1"/>
    <w:multiLevelType w:val="multilevel"/>
    <w:tmpl w:val="D58AC8B1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6">
    <w:nsid w:val="E175170F"/>
    <w:multiLevelType w:val="multilevel"/>
    <w:tmpl w:val="E175170F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7">
    <w:nsid w:val="14426333"/>
    <w:multiLevelType w:val="multilevel"/>
    <w:tmpl w:val="14426333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8">
    <w:nsid w:val="1790E528"/>
    <w:multiLevelType w:val="multilevel"/>
    <w:tmpl w:val="1790E528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9">
    <w:nsid w:val="1A2A9FDB"/>
    <w:multiLevelType w:val="multilevel"/>
    <w:tmpl w:val="1A2A9FDB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0">
    <w:nsid w:val="1AE73A4D"/>
    <w:multiLevelType w:val="multilevel"/>
    <w:tmpl w:val="1AE73A4D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1">
    <w:nsid w:val="266A41CE"/>
    <w:multiLevelType w:val="multilevel"/>
    <w:tmpl w:val="266A41CE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2">
    <w:nsid w:val="465CB996"/>
    <w:multiLevelType w:val="multilevel"/>
    <w:tmpl w:val="465CB996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3">
    <w:nsid w:val="4A954115"/>
    <w:multiLevelType w:val="multilevel"/>
    <w:tmpl w:val="4A95411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4">
    <w:nsid w:val="64C10E4E"/>
    <w:multiLevelType w:val="multilevel"/>
    <w:tmpl w:val="64C10E4E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5">
    <w:nsid w:val="6ABD3114"/>
    <w:multiLevelType w:val="multilevel"/>
    <w:tmpl w:val="6ABD3114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6">
    <w:nsid w:val="752EB021"/>
    <w:multiLevelType w:val="multilevel"/>
    <w:tmpl w:val="752EB021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abstractNum w:abstractNumId="17">
    <w:nsid w:val="7A007252"/>
    <w:multiLevelType w:val="multilevel"/>
    <w:tmpl w:val="7A007252"/>
    <w:lvl w:ilvl="0" w:tentative="0">
      <w:start w:val="1"/>
      <w:numFmt w:val="decimal"/>
      <w:lvlText w:val="%1)"/>
      <w:lvlJc w:val="left"/>
      <w:pPr>
        <w:ind w:left="820" w:hanging="420"/>
      </w:pPr>
    </w:lvl>
    <w:lvl w:ilvl="1" w:tentative="0">
      <w:start w:val="1"/>
      <w:numFmt w:val="lowerLetter"/>
      <w:lvlText w:val="%2)"/>
      <w:lvlJc w:val="left"/>
      <w:pPr>
        <w:ind w:left="1240" w:hanging="420"/>
      </w:pPr>
    </w:lvl>
    <w:lvl w:ilvl="2" w:tentative="0">
      <w:start w:val="1"/>
      <w:numFmt w:val="lowerRoman"/>
      <w:lvlText w:val="%3."/>
      <w:lvlJc w:val="right"/>
      <w:pPr>
        <w:ind w:left="1660" w:hanging="420"/>
      </w:pPr>
    </w:lvl>
    <w:lvl w:ilvl="3" w:tentative="0">
      <w:start w:val="1"/>
      <w:numFmt w:val="decimal"/>
      <w:lvlText w:val="%4."/>
      <w:lvlJc w:val="left"/>
      <w:pPr>
        <w:ind w:left="2080" w:hanging="420"/>
      </w:pPr>
    </w:lvl>
    <w:lvl w:ilvl="4" w:tentative="0">
      <w:start w:val="1"/>
      <w:numFmt w:val="lowerLetter"/>
      <w:lvlText w:val="%5)"/>
      <w:lvlJc w:val="left"/>
      <w:pPr>
        <w:ind w:left="2500" w:hanging="420"/>
      </w:pPr>
    </w:lvl>
    <w:lvl w:ilvl="5" w:tentative="0">
      <w:start w:val="1"/>
      <w:numFmt w:val="lowerRoman"/>
      <w:lvlText w:val="%6."/>
      <w:lvlJc w:val="right"/>
      <w:pPr>
        <w:ind w:left="2920" w:hanging="420"/>
      </w:pPr>
    </w:lvl>
    <w:lvl w:ilvl="6" w:tentative="0">
      <w:start w:val="1"/>
      <w:numFmt w:val="decimal"/>
      <w:lvlText w:val="%7."/>
      <w:lvlJc w:val="left"/>
      <w:pPr>
        <w:ind w:left="3340" w:hanging="420"/>
      </w:pPr>
    </w:lvl>
    <w:lvl w:ilvl="7" w:tentative="0">
      <w:start w:val="1"/>
      <w:numFmt w:val="lowerLetter"/>
      <w:lvlText w:val="%8)"/>
      <w:lvlJc w:val="left"/>
      <w:pPr>
        <w:ind w:left="3760" w:hanging="420"/>
      </w:pPr>
    </w:lvl>
    <w:lvl w:ilvl="8" w:tentative="0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1"/>
  </w:num>
  <w:num w:numId="5">
    <w:abstractNumId w:val="16"/>
  </w:num>
  <w:num w:numId="6">
    <w:abstractNumId w:val="17"/>
  </w:num>
  <w:num w:numId="7">
    <w:abstractNumId w:val="10"/>
  </w:num>
  <w:num w:numId="8">
    <w:abstractNumId w:val="5"/>
  </w:num>
  <w:num w:numId="9">
    <w:abstractNumId w:val="2"/>
  </w:num>
  <w:num w:numId="10">
    <w:abstractNumId w:val="12"/>
  </w:num>
  <w:num w:numId="11">
    <w:abstractNumId w:val="0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  <w:num w:numId="16">
    <w:abstractNumId w:val="15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77318"/>
    <w:rsid w:val="02AE7397"/>
    <w:rsid w:val="03004097"/>
    <w:rsid w:val="04F574FF"/>
    <w:rsid w:val="052C420E"/>
    <w:rsid w:val="078057A6"/>
    <w:rsid w:val="09BE57AE"/>
    <w:rsid w:val="09CF031F"/>
    <w:rsid w:val="0B6C7DF0"/>
    <w:rsid w:val="0B722EA9"/>
    <w:rsid w:val="0C321B11"/>
    <w:rsid w:val="0DD51CA1"/>
    <w:rsid w:val="0E300CCB"/>
    <w:rsid w:val="10F62635"/>
    <w:rsid w:val="1162023A"/>
    <w:rsid w:val="122E5DFF"/>
    <w:rsid w:val="12D06EB6"/>
    <w:rsid w:val="13BB6133"/>
    <w:rsid w:val="16775FC6"/>
    <w:rsid w:val="179E57D5"/>
    <w:rsid w:val="18C75695"/>
    <w:rsid w:val="18C80D5B"/>
    <w:rsid w:val="1A7D0ED9"/>
    <w:rsid w:val="1A88701D"/>
    <w:rsid w:val="1C1408C2"/>
    <w:rsid w:val="1C2B03A2"/>
    <w:rsid w:val="1C5B1EE6"/>
    <w:rsid w:val="1D990F18"/>
    <w:rsid w:val="1F244811"/>
    <w:rsid w:val="21F66939"/>
    <w:rsid w:val="22640D05"/>
    <w:rsid w:val="230230BC"/>
    <w:rsid w:val="23F463C5"/>
    <w:rsid w:val="2409047A"/>
    <w:rsid w:val="287F6F5C"/>
    <w:rsid w:val="28C01A4F"/>
    <w:rsid w:val="29035493"/>
    <w:rsid w:val="2A36189D"/>
    <w:rsid w:val="2B3A3819"/>
    <w:rsid w:val="2D813AD4"/>
    <w:rsid w:val="2ED27DE6"/>
    <w:rsid w:val="317258B0"/>
    <w:rsid w:val="31B163D9"/>
    <w:rsid w:val="31C14142"/>
    <w:rsid w:val="321D3A6E"/>
    <w:rsid w:val="32755658"/>
    <w:rsid w:val="355E6877"/>
    <w:rsid w:val="375810A4"/>
    <w:rsid w:val="393C6ED0"/>
    <w:rsid w:val="399C796E"/>
    <w:rsid w:val="3A776AC3"/>
    <w:rsid w:val="3B471B5C"/>
    <w:rsid w:val="3BED44B1"/>
    <w:rsid w:val="3E5527E2"/>
    <w:rsid w:val="3ECC1648"/>
    <w:rsid w:val="3F8C5D8F"/>
    <w:rsid w:val="41434B73"/>
    <w:rsid w:val="4278084D"/>
    <w:rsid w:val="42843695"/>
    <w:rsid w:val="4339622E"/>
    <w:rsid w:val="4374594E"/>
    <w:rsid w:val="44383A38"/>
    <w:rsid w:val="45140D01"/>
    <w:rsid w:val="46A165C4"/>
    <w:rsid w:val="46CE4EDF"/>
    <w:rsid w:val="480706A9"/>
    <w:rsid w:val="483376F0"/>
    <w:rsid w:val="485E04E5"/>
    <w:rsid w:val="488A6E2A"/>
    <w:rsid w:val="48FD5F50"/>
    <w:rsid w:val="49BE123B"/>
    <w:rsid w:val="4B825E45"/>
    <w:rsid w:val="4C5C2EAF"/>
    <w:rsid w:val="4D4128AF"/>
    <w:rsid w:val="4DC332C4"/>
    <w:rsid w:val="4F1D1607"/>
    <w:rsid w:val="4FCE6470"/>
    <w:rsid w:val="50FC089B"/>
    <w:rsid w:val="515B1A65"/>
    <w:rsid w:val="54640BFE"/>
    <w:rsid w:val="54A863C8"/>
    <w:rsid w:val="55B762AF"/>
    <w:rsid w:val="5765719A"/>
    <w:rsid w:val="57A17FBB"/>
    <w:rsid w:val="57F062E1"/>
    <w:rsid w:val="58B55EFF"/>
    <w:rsid w:val="58DA5965"/>
    <w:rsid w:val="5A1922CE"/>
    <w:rsid w:val="5B3D100E"/>
    <w:rsid w:val="5C6776A1"/>
    <w:rsid w:val="5C8956D8"/>
    <w:rsid w:val="5D926480"/>
    <w:rsid w:val="5E6D58C4"/>
    <w:rsid w:val="619A3EE4"/>
    <w:rsid w:val="628801E0"/>
    <w:rsid w:val="64330B3B"/>
    <w:rsid w:val="645E569D"/>
    <w:rsid w:val="646911A6"/>
    <w:rsid w:val="6767170D"/>
    <w:rsid w:val="6CB726F4"/>
    <w:rsid w:val="6D4A0EB4"/>
    <w:rsid w:val="71B42DA0"/>
    <w:rsid w:val="72A72905"/>
    <w:rsid w:val="741915E0"/>
    <w:rsid w:val="75C430EC"/>
    <w:rsid w:val="76984A3E"/>
    <w:rsid w:val="77C655DB"/>
    <w:rsid w:val="7A617455"/>
    <w:rsid w:val="7A67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0"/>
    <w:pPr>
      <w:ind w:left="420" w:leftChars="200"/>
    </w:p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6" Type="http://schemas.openxmlformats.org/officeDocument/2006/relationships/fontTable" Target="fontTable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74</Pages>
  <Words>3699</Words>
  <Characters>4018</Characters>
  <Lines>0</Lines>
  <Paragraphs>0</Paragraphs>
  <TotalTime>0</TotalTime>
  <ScaleCrop>false</ScaleCrop>
  <LinksUpToDate>false</LinksUpToDate>
  <CharactersWithSpaces>4231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2025-07-29T01:39:00Z</dcterms:created>
  <dc:creator>huxiaoben</dc:creator>
  <cp:lastModifiedBy>Fff</cp:lastModifiedBy>
  <dcterms:modified xsi:type="dcterms:W3CDTF">2025-12-17T08:19:39Z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1AECC1FE2A6F45B3A74C178D2B86C0E3_12</vt:lpwstr>
  </property>
  <property fmtid="{D5CDD505-2E9C-101B-9397-08002B2CF9AE}" pid="4" name="KSOTemplateDocerSaveRecord">
    <vt:lpwstr>eyJoZGlkIjoiNGEzOTk1Y2QxMmI1ZDExY2I1ZTlmYjJiZjE2ZDk2ZmYiLCJ1c2VySWQiOiIyMjA2OTIzMzIifQ==</vt:lpwstr>
  </property>
</Properties>
</file>